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2A310" w14:textId="5B20009E" w:rsidR="009D3267" w:rsidRPr="006E6FDF" w:rsidRDefault="009D3267" w:rsidP="009D3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it-IT"/>
          <w14:ligatures w14:val="none"/>
        </w:rPr>
      </w:pPr>
      <w:bookmarkStart w:id="0" w:name="_Hlk221888524"/>
      <w:r w:rsidRPr="006E6FD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it-IT"/>
          <w14:ligatures w14:val="none"/>
        </w:rPr>
        <w:t xml:space="preserve">Overview of DTT magnetic </w:t>
      </w:r>
      <w:r w:rsidR="005854A2" w:rsidRPr="006E6FD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it-IT"/>
          <w14:ligatures w14:val="none"/>
        </w:rPr>
        <w:t>d</w:t>
      </w:r>
      <w:r w:rsidRPr="006E6FD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it-IT"/>
          <w14:ligatures w14:val="none"/>
        </w:rPr>
        <w:t>iagnostic</w:t>
      </w:r>
    </w:p>
    <w:p w14:paraId="74CC3A36" w14:textId="77777777" w:rsidR="009D3267" w:rsidRPr="006E6FDF" w:rsidRDefault="009D3267" w:rsidP="009D326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101565A" w14:textId="4AD69DB3" w:rsidR="009D3267" w:rsidRDefault="009D3267" w:rsidP="009D326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G.</w:t>
      </w:r>
      <w:r w:rsidR="00A0085C" w:rsidRPr="00A0085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 xml:space="preserve"> 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Artaserse</w:t>
      </w:r>
      <w:r w:rsidR="00A0085C" w:rsidRPr="00A0085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vertAlign w:val="superscript"/>
          <w:lang w:eastAsia="it-IT"/>
          <w14:ligatures w14:val="none"/>
        </w:rPr>
        <w:t>1,2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O.</w:t>
      </w:r>
      <w:r w:rsidR="00A0085C"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Tudisco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3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A.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Pironti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4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M.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Brombin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5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A.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Quercia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4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I.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Duran</w:t>
      </w:r>
      <w:r w:rsidR="00DF3D43" w:rsidRPr="00DF3D4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6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D.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Testa</w:t>
      </w:r>
      <w:r w:rsidR="00DF3D4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7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M.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Baruzzo</w:t>
      </w:r>
      <w:r w:rsidR="00A0085C" w:rsidRPr="00A0085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1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L.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Boncagni</w:t>
      </w:r>
      <w:r w:rsidR="00A0085C" w:rsidRPr="00A0085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1</w:t>
      </w:r>
      <w:r w:rsidR="002258DA"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="00C06A2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T.Fontana</w:t>
      </w:r>
      <w:r w:rsidR="00C06A27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3</w:t>
      </w:r>
      <w:r w:rsidR="00C06A27" w:rsidRPr="00C06A2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</w:t>
      </w:r>
      <w:r w:rsidR="00C06A2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2258DA"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A.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2258DA"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Balsamo</w:t>
      </w:r>
      <w:r w:rsidR="00DF3D4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8</w:t>
      </w:r>
      <w:r w:rsidR="002258DA"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G.</w:t>
      </w:r>
      <w:r w:rsid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2258DA"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Giustizieri</w:t>
      </w:r>
      <w:r w:rsidR="00DF3D4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8</w:t>
      </w:r>
      <w:r w:rsidR="00A0085C"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M. Iafrati</w:t>
      </w:r>
      <w:r w:rsidR="00A0085C" w:rsidRPr="00A0085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1</w:t>
      </w:r>
      <w:r w:rsidR="00DE7AC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,C</w:t>
      </w:r>
      <w:r w:rsidR="00DE7ACC"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. </w:t>
      </w:r>
      <w:r w:rsidR="00DE7AC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Centioli</w:t>
      </w:r>
      <w:r w:rsidR="00DE7ACC" w:rsidRPr="00A0085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1</w:t>
      </w:r>
      <w:r w:rsidR="00DE7AC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,2</w:t>
      </w:r>
      <w:r w:rsidR="00DE7AC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L.Gabellieri</w:t>
      </w:r>
      <w:r w:rsidR="00DE7AC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2</w:t>
      </w:r>
      <w:r w:rsidR="00DE7AC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F</w:t>
      </w:r>
      <w:r w:rsidR="00DE7ACC" w:rsidRPr="00A0085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. </w:t>
      </w:r>
      <w:r w:rsidR="00DE7AC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Bagnato</w:t>
      </w:r>
      <w:r w:rsidR="00DE7AC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2</w:t>
      </w:r>
      <w:r w:rsidR="00DE7AC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,A. Murari</w:t>
      </w:r>
      <w:r w:rsidR="00DE7AC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5</w:t>
      </w:r>
      <w:r w:rsidR="003A2E6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it-IT"/>
          <w14:ligatures w14:val="none"/>
        </w:rPr>
        <w:t>,9</w:t>
      </w:r>
    </w:p>
    <w:p w14:paraId="7AE765C1" w14:textId="77777777" w:rsidR="00A0085C" w:rsidRDefault="00A0085C" w:rsidP="009D326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8B39264" w14:textId="6A0B0E22" w:rsidR="00A0085C" w:rsidRPr="006E2703" w:rsidRDefault="00A0085C" w:rsidP="00DF3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it-IT"/>
          <w14:ligatures w14:val="none"/>
        </w:rPr>
        <w:t>1</w:t>
      </w: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ENEA</w:t>
      </w:r>
      <w:r w:rsidR="00DF3D43" w:rsidRPr="006E2703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,</w:t>
      </w:r>
      <w:r w:rsidR="00DF3D43" w:rsidRPr="006E2703">
        <w:rPr>
          <w:sz w:val="20"/>
          <w:szCs w:val="20"/>
        </w:rPr>
        <w:t xml:space="preserve"> </w:t>
      </w:r>
      <w:r w:rsidR="00DF3D43" w:rsidRPr="006E2703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C. R. Frascati, via E. Fermi 45, 00044 Frascati, Italy</w:t>
      </w:r>
    </w:p>
    <w:p w14:paraId="1299C70B" w14:textId="340CC956" w:rsidR="00A0085C" w:rsidRPr="006E2703" w:rsidRDefault="00A0085C" w:rsidP="00DF3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it-IT"/>
          <w14:ligatures w14:val="none"/>
        </w:rPr>
        <w:t>2</w:t>
      </w: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DTT</w:t>
      </w:r>
      <w:r w:rsidR="00DF3D43" w:rsidRPr="006E2703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, S.c. a r.l., via Enrico Fermi 45, 00044 Frascati, Roma, Italy</w:t>
      </w:r>
    </w:p>
    <w:p w14:paraId="69FE0CFD" w14:textId="77777777" w:rsidR="00DF3D43" w:rsidRPr="006E2703" w:rsidRDefault="00A0085C" w:rsidP="00DF3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it-IT"/>
          <w14:ligatures w14:val="none"/>
        </w:rPr>
        <w:t>3</w:t>
      </w: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UNITUS</w:t>
      </w:r>
      <w:r w:rsidR="00DF3D43" w:rsidRPr="006E2703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, University of Tuscia, DEIM, Via del Paradiso 47, 01100 Viterbo, Italy</w:t>
      </w:r>
    </w:p>
    <w:p w14:paraId="2213CE1A" w14:textId="02920B35" w:rsidR="00DF3D43" w:rsidRPr="006E2703" w:rsidRDefault="00DF3D43" w:rsidP="00DF3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it-IT"/>
          <w14:ligatures w14:val="none"/>
        </w:rPr>
        <w:t>4</w:t>
      </w: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Consorzio CREATE, Via Claudio 21, 80125 Napoli, Italy</w:t>
      </w:r>
    </w:p>
    <w:p w14:paraId="0D0DE416" w14:textId="6250A963" w:rsidR="00A0085C" w:rsidRPr="006E2703" w:rsidRDefault="00A0085C" w:rsidP="00DF3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it-IT"/>
          <w14:ligatures w14:val="none"/>
        </w:rPr>
        <w:t>5</w:t>
      </w: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RFX</w:t>
      </w:r>
      <w:r w:rsidR="00DF3D43" w:rsidRPr="006E2703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, Consorzio RFX, corso Stati Uniti 4, 35127 Padova, Italy</w:t>
      </w:r>
    </w:p>
    <w:p w14:paraId="68F3DEC8" w14:textId="7B3EF9DB" w:rsidR="00A0085C" w:rsidRPr="006E2703" w:rsidRDefault="00DF3D43" w:rsidP="00DF3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</w:pP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val="en-GB" w:eastAsia="it-IT"/>
          <w14:ligatures w14:val="none"/>
        </w:rPr>
        <w:t>6</w:t>
      </w:r>
      <w:r w:rsidR="00A0085C" w:rsidRPr="006E270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IPP </w:t>
      </w:r>
      <w:r w:rsidR="006E2703" w:rsidRPr="006E270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Institute of Plasma Physics of the CAS, </w:t>
      </w:r>
      <w:r w:rsidR="0024125B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U</w:t>
      </w:r>
      <w:r w:rsidR="006E2703" w:rsidRPr="006E270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 Slovank</w:t>
      </w:r>
      <w:r w:rsidR="0024125B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y</w:t>
      </w:r>
      <w:r w:rsidR="006E2703" w:rsidRPr="006E270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 xml:space="preserve"> </w:t>
      </w:r>
      <w:r w:rsidR="0024125B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2525/1a</w:t>
      </w:r>
      <w:r w:rsidR="006E2703" w:rsidRPr="006E2703">
        <w:rPr>
          <w:rFonts w:ascii="Times New Roman" w:eastAsia="Times New Roman" w:hAnsi="Times New Roman" w:cs="Times New Roman"/>
          <w:kern w:val="0"/>
          <w:sz w:val="20"/>
          <w:szCs w:val="20"/>
          <w:lang w:val="en-GB" w:eastAsia="it-IT"/>
          <w14:ligatures w14:val="none"/>
        </w:rPr>
        <w:t>, 182 00 Prague, Czechia</w:t>
      </w:r>
    </w:p>
    <w:p w14:paraId="6EB680BC" w14:textId="6707CFFC" w:rsidR="00A0085C" w:rsidRPr="006E2703" w:rsidRDefault="00DF3D43" w:rsidP="00DF3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it-IT"/>
          <w14:ligatures w14:val="none"/>
        </w:rPr>
        <w:t>7</w:t>
      </w:r>
      <w:r w:rsidR="00A0085C" w:rsidRPr="006E2703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EPFL </w:t>
      </w:r>
      <w:r w:rsidRPr="006E2703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École Polytechnique Fédérale de Lausanne, Rte Cantonale, 1015 Lausanne, Switzerland</w:t>
      </w:r>
    </w:p>
    <w:p w14:paraId="455BBB66" w14:textId="66757E19" w:rsidR="00A0085C" w:rsidRPr="0080295C" w:rsidRDefault="00DF3D43" w:rsidP="00DF3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0295C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it-IT"/>
          <w14:ligatures w14:val="none"/>
        </w:rPr>
        <w:t>8</w:t>
      </w:r>
      <w:r w:rsidRPr="0080295C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CETMA, S.S.7 Km.706+ 030, 72100 Brindisi, Italy</w:t>
      </w:r>
    </w:p>
    <w:p w14:paraId="731DE7F6" w14:textId="329794D7" w:rsidR="00E84E2C" w:rsidRPr="0080295C" w:rsidRDefault="00E84E2C" w:rsidP="00DF3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80295C">
        <w:rPr>
          <w:rFonts w:ascii="Times New Roman" w:hAnsi="Times New Roman" w:cs="Times New Roman"/>
          <w:sz w:val="20"/>
          <w:vertAlign w:val="superscript"/>
        </w:rPr>
        <w:t>9</w:t>
      </w:r>
      <w:r w:rsidRPr="0080295C">
        <w:rPr>
          <w:rFonts w:ascii="Times New Roman" w:hAnsi="Times New Roman" w:cs="Times New Roman"/>
          <w:sz w:val="20"/>
        </w:rPr>
        <w:t xml:space="preserve"> Istituto per la Scienza e la Tecnologia dei Plasmi, CNR, Padova, Italy</w:t>
      </w:r>
    </w:p>
    <w:p w14:paraId="46952F0E" w14:textId="73A23A36" w:rsidR="00A4732C" w:rsidRPr="0080295C" w:rsidRDefault="00A4732C" w:rsidP="00A473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B2B1303" w14:textId="77777777" w:rsidR="00485F33" w:rsidRPr="0080295C" w:rsidRDefault="00485F33" w:rsidP="00A473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21F1206" w14:textId="77777777" w:rsidR="00485F33" w:rsidRPr="0080295C" w:rsidRDefault="00485F33" w:rsidP="00A473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5CC760F" w14:textId="77777777" w:rsidR="00485F33" w:rsidRPr="0080295C" w:rsidRDefault="00485F33" w:rsidP="00A4732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3E2C031" w14:textId="77777777" w:rsidR="00DE7ACC" w:rsidRPr="0080295C" w:rsidRDefault="00DE7ACC" w:rsidP="00A008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714C466" w14:textId="17762295" w:rsidR="00DE7ACC" w:rsidRPr="00485F33" w:rsidRDefault="00DE7ACC" w:rsidP="00A008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</w:pPr>
      <w:r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The Divertor Tokamak Test (DTT) facility, </w:t>
      </w:r>
      <w:r w:rsidR="00E9047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currently </w:t>
      </w:r>
      <w:r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under construction at ENEA Research Center in Frascati, is a high-field superconducting device designed to </w:t>
      </w:r>
      <w:r w:rsidR="00E9047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investigate</w:t>
      </w:r>
      <w:r w:rsidR="00E9047C"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 </w:t>
      </w:r>
      <w:r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the power exhaust </w:t>
      </w:r>
      <w:r w:rsidR="00E9047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solutions</w:t>
      </w:r>
      <w:r w:rsidR="00E9047C"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 </w:t>
      </w:r>
      <w:r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for future DEMO-class reactors. It will feature actively cooled tungsten components to test advanced magnetic configurations, which requires a highly accurate magnetic diagnostics for plasma control and vertical stabilization.</w:t>
      </w:r>
    </w:p>
    <w:p w14:paraId="661BB9E5" w14:textId="4AB1C07E" w:rsidR="00485F33" w:rsidRPr="00485F33" w:rsidRDefault="00485F33" w:rsidP="00A0085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</w:pPr>
      <w:r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 xml:space="preserve">Integrated directly into the machine's architecture, the DTT magnetic diagnostics </w:t>
      </w:r>
      <w:r w:rsidR="003A2E6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 xml:space="preserve">provide essential information for </w:t>
      </w:r>
      <w:r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>machine protection and stable plasma equilibrium. The design features optimized sensor arrays engineered to measure fundamental plasma parameters</w:t>
      </w:r>
      <w:r w:rsidR="003A2E6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>,</w:t>
      </w:r>
      <w:r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 xml:space="preserve"> </w:t>
      </w:r>
      <w:r w:rsidR="003A2E66"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>including plasma shape</w:t>
      </w:r>
      <w:r w:rsidR="003A2E6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>,</w:t>
      </w:r>
      <w:r w:rsidR="003A2E66"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 xml:space="preserve"> </w:t>
      </w:r>
      <w:r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 xml:space="preserve">and complex phenomena, </w:t>
      </w:r>
      <w:r w:rsidR="003A2E6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 xml:space="preserve">such as </w:t>
      </w:r>
      <w:r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 xml:space="preserve">perturbations, eddy </w:t>
      </w:r>
      <w:r w:rsidR="003A2E6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>and</w:t>
      </w:r>
      <w:r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it-IT"/>
          <w14:ligatures w14:val="none"/>
        </w:rPr>
        <w:t xml:space="preserve"> halo currents.</w:t>
      </w:r>
    </w:p>
    <w:p w14:paraId="27615D1D" w14:textId="77777777" w:rsidR="00E9047C" w:rsidRDefault="00E9047C" w:rsidP="008C335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047C">
        <w:rPr>
          <w:rFonts w:ascii="Times New Roman" w:hAnsi="Times New Roman" w:cs="Times New Roman"/>
          <w:sz w:val="24"/>
          <w:szCs w:val="24"/>
          <w:lang w:val="en-US"/>
        </w:rPr>
        <w:t>Consisting of roughly 1,000 internal and external sensors, the system utilizes model-based optimization to maintain errors below 1% for plasma current reconstruction and under 1 cm for centroid positioning. Furthermore, dedicated bi-axial pick-up coils embedded in the divertor cassette enable precise, real-time control of the X-point and strike points during advanced divertor configurations.</w:t>
      </w:r>
    </w:p>
    <w:p w14:paraId="5722A906" w14:textId="52CE2A2C" w:rsidR="00485F33" w:rsidRDefault="00485F33" w:rsidP="008C3350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5F33">
        <w:rPr>
          <w:rFonts w:ascii="Times New Roman" w:hAnsi="Times New Roman" w:cs="Times New Roman"/>
          <w:sz w:val="24"/>
          <w:szCs w:val="24"/>
          <w:lang w:val="en-US"/>
        </w:rPr>
        <w:t xml:space="preserve">The DTT magnetic diagnostics team </w:t>
      </w:r>
      <w:r w:rsidR="003A2E66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Pr="00485F33">
        <w:rPr>
          <w:rFonts w:ascii="Times New Roman" w:hAnsi="Times New Roman" w:cs="Times New Roman"/>
          <w:sz w:val="24"/>
          <w:szCs w:val="24"/>
          <w:lang w:val="en-US"/>
        </w:rPr>
        <w:t>addressed critical design constraints, including extreme operational stresses</w:t>
      </w:r>
      <w:r w:rsidR="003A2E66">
        <w:rPr>
          <w:rFonts w:ascii="Times New Roman" w:hAnsi="Times New Roman" w:cs="Times New Roman"/>
          <w:sz w:val="24"/>
          <w:szCs w:val="24"/>
          <w:lang w:val="en-US"/>
        </w:rPr>
        <w:t xml:space="preserve">, such as </w:t>
      </w:r>
      <w:r w:rsidRPr="00485F33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3A2E6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temperature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gradient</w:t>
      </w:r>
      <w:r w:rsidR="003A2E6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 </w:t>
      </w:r>
      <w:r w:rsidR="00E9047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during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wall conditioning </w:t>
      </w:r>
      <w:r w:rsidR="003A2E66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baking procedure</w:t>
      </w:r>
      <w:r w:rsidR="00863EF1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,</w:t>
      </w:r>
      <w:r w:rsidRPr="00485F3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stray </w:t>
      </w:r>
      <w:r w:rsidR="00863EF1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radiation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from ECRH</w:t>
      </w:r>
      <w:r w:rsidR="00E9047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 xml:space="preserve"> system</w:t>
      </w:r>
      <w:r w:rsidR="00863EF1"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  <w:t>,</w:t>
      </w:r>
      <w:r w:rsidRPr="00485F33">
        <w:rPr>
          <w:rFonts w:ascii="Times New Roman" w:hAnsi="Times New Roman" w:cs="Times New Roman"/>
          <w:sz w:val="24"/>
          <w:szCs w:val="24"/>
          <w:lang w:val="en-US"/>
        </w:rPr>
        <w:t xml:space="preserve"> neutron flux</w:t>
      </w:r>
      <w:r w:rsidR="00863EF1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Pr="00485F33">
        <w:rPr>
          <w:rFonts w:ascii="Times New Roman" w:hAnsi="Times New Roman" w:cs="Times New Roman"/>
          <w:sz w:val="24"/>
          <w:szCs w:val="24"/>
          <w:lang w:val="en-US"/>
        </w:rPr>
        <w:t xml:space="preserve">, and electromagnetic loads, </w:t>
      </w:r>
      <w:r w:rsidR="00863EF1">
        <w:rPr>
          <w:rFonts w:ascii="Times New Roman" w:hAnsi="Times New Roman" w:cs="Times New Roman"/>
          <w:sz w:val="24"/>
          <w:szCs w:val="24"/>
          <w:lang w:val="en-US"/>
        </w:rPr>
        <w:t xml:space="preserve">in addition to </w:t>
      </w:r>
      <w:r w:rsidRPr="00485F33">
        <w:rPr>
          <w:rFonts w:ascii="Times New Roman" w:hAnsi="Times New Roman" w:cs="Times New Roman"/>
          <w:sz w:val="24"/>
          <w:szCs w:val="24"/>
          <w:lang w:val="en-US"/>
        </w:rPr>
        <w:t xml:space="preserve">severe space limitations </w:t>
      </w:r>
      <w:r w:rsidR="00863EF1">
        <w:rPr>
          <w:rFonts w:ascii="Times New Roman" w:hAnsi="Times New Roman" w:cs="Times New Roman"/>
          <w:sz w:val="24"/>
          <w:szCs w:val="24"/>
          <w:lang w:val="en-US"/>
        </w:rPr>
        <w:t xml:space="preserve">particularly </w:t>
      </w:r>
      <w:r w:rsidRPr="00485F33">
        <w:rPr>
          <w:rFonts w:ascii="Times New Roman" w:hAnsi="Times New Roman" w:cs="Times New Roman"/>
          <w:sz w:val="24"/>
          <w:szCs w:val="24"/>
          <w:lang w:val="en-US"/>
        </w:rPr>
        <w:t>on the high-field side. The system requires careful integration with the water-cooled first wall and vacuum vessel to manage project bottlenecks and ensure proper installation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1" w:name="_Hlk221889573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22F1904" w14:textId="48569318" w:rsidR="00485F33" w:rsidRDefault="00E9047C" w:rsidP="008C3350">
      <w:pPr>
        <w:pStyle w:val="Paragrafoelenco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it-IT"/>
          <w14:ligatures w14:val="none"/>
        </w:rPr>
      </w:pPr>
      <w:r w:rsidRPr="00E9047C">
        <w:rPr>
          <w:rFonts w:ascii="Times New Roman" w:hAnsi="Times New Roman" w:cs="Times New Roman"/>
          <w:sz w:val="24"/>
          <w:szCs w:val="24"/>
          <w:lang w:val="en-US"/>
        </w:rPr>
        <w:t xml:space="preserve">Finally, </w:t>
      </w:r>
      <w:r w:rsidR="009258B3">
        <w:rPr>
          <w:rFonts w:ascii="Times New Roman" w:hAnsi="Times New Roman" w:cs="Times New Roman"/>
          <w:sz w:val="24"/>
          <w:szCs w:val="24"/>
          <w:lang w:val="en-US"/>
        </w:rPr>
        <w:t>since</w:t>
      </w:r>
      <w:r w:rsidR="009258B3" w:rsidRPr="00E904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047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3EF1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Pr="00E9047C">
        <w:rPr>
          <w:rFonts w:ascii="Times New Roman" w:hAnsi="Times New Roman" w:cs="Times New Roman"/>
          <w:sz w:val="24"/>
          <w:szCs w:val="24"/>
          <w:lang w:val="en-US"/>
        </w:rPr>
        <w:t xml:space="preserve"> novel sensors cannot be replaced via remote handling during the extensive DTT operational phase, a strategic level of hardware redundancy has been incorporated into the design.</w:t>
      </w:r>
    </w:p>
    <w:bookmarkEnd w:id="1"/>
    <w:p w14:paraId="3D4DEB28" w14:textId="77777777" w:rsidR="00A0085C" w:rsidRPr="00E9047C" w:rsidRDefault="00A0085C">
      <w:pPr>
        <w:rPr>
          <w:lang w:val="en-US"/>
        </w:rPr>
      </w:pPr>
    </w:p>
    <w:sectPr w:rsidR="00A0085C" w:rsidRPr="00E9047C" w:rsidSect="00E9047C">
      <w:headerReference w:type="default" r:id="rId7"/>
      <w:pgSz w:w="11906" w:h="16838"/>
      <w:pgMar w:top="1135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CB76E" w14:textId="77777777" w:rsidR="000642EC" w:rsidRDefault="000642EC" w:rsidP="00E9047C">
      <w:pPr>
        <w:spacing w:after="0" w:line="240" w:lineRule="auto"/>
      </w:pPr>
      <w:r>
        <w:separator/>
      </w:r>
    </w:p>
  </w:endnote>
  <w:endnote w:type="continuationSeparator" w:id="0">
    <w:p w14:paraId="4CF82AB3" w14:textId="77777777" w:rsidR="000642EC" w:rsidRDefault="000642EC" w:rsidP="00E90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4F717" w14:textId="77777777" w:rsidR="000642EC" w:rsidRDefault="000642EC" w:rsidP="00E9047C">
      <w:pPr>
        <w:spacing w:after="0" w:line="240" w:lineRule="auto"/>
      </w:pPr>
      <w:r>
        <w:separator/>
      </w:r>
    </w:p>
  </w:footnote>
  <w:footnote w:type="continuationSeparator" w:id="0">
    <w:p w14:paraId="64CBD5A9" w14:textId="77777777" w:rsidR="000642EC" w:rsidRDefault="000642EC" w:rsidP="00E90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697CB" w14:textId="5038C66A" w:rsidR="00E9047C" w:rsidRDefault="00E9047C" w:rsidP="00E9047C">
    <w:pPr>
      <w:pStyle w:val="Intestazione"/>
      <w:jc w:val="right"/>
    </w:pPr>
    <w:r>
      <w:t>ICFDT8 Conference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252"/>
    <w:multiLevelType w:val="multilevel"/>
    <w:tmpl w:val="47B6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52B29"/>
    <w:multiLevelType w:val="multilevel"/>
    <w:tmpl w:val="DB9A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63568"/>
    <w:multiLevelType w:val="multilevel"/>
    <w:tmpl w:val="37BE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565F47"/>
    <w:multiLevelType w:val="multilevel"/>
    <w:tmpl w:val="FA3C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47CC6"/>
    <w:multiLevelType w:val="multilevel"/>
    <w:tmpl w:val="02AE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A5DA5"/>
    <w:multiLevelType w:val="multilevel"/>
    <w:tmpl w:val="77E6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A63003"/>
    <w:multiLevelType w:val="hybridMultilevel"/>
    <w:tmpl w:val="F4F62770"/>
    <w:lvl w:ilvl="0" w:tplc="C9E25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6040C"/>
    <w:multiLevelType w:val="multilevel"/>
    <w:tmpl w:val="BC92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04E3A"/>
    <w:multiLevelType w:val="multilevel"/>
    <w:tmpl w:val="8826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84040F"/>
    <w:multiLevelType w:val="multilevel"/>
    <w:tmpl w:val="D9D4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16432"/>
    <w:multiLevelType w:val="hybridMultilevel"/>
    <w:tmpl w:val="FFFFFFFF"/>
    <w:lvl w:ilvl="0" w:tplc="B50E9282">
      <w:numFmt w:val="bullet"/>
      <w:lvlText w:val="-"/>
      <w:lvlJc w:val="left"/>
      <w:pPr>
        <w:ind w:left="1664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75F45C83"/>
    <w:multiLevelType w:val="multilevel"/>
    <w:tmpl w:val="95F4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2673434">
    <w:abstractNumId w:val="9"/>
  </w:num>
  <w:num w:numId="2" w16cid:durableId="308900632">
    <w:abstractNumId w:val="8"/>
  </w:num>
  <w:num w:numId="3" w16cid:durableId="1123887051">
    <w:abstractNumId w:val="2"/>
  </w:num>
  <w:num w:numId="4" w16cid:durableId="1730035662">
    <w:abstractNumId w:val="4"/>
  </w:num>
  <w:num w:numId="5" w16cid:durableId="87623777">
    <w:abstractNumId w:val="11"/>
  </w:num>
  <w:num w:numId="6" w16cid:durableId="604926451">
    <w:abstractNumId w:val="1"/>
  </w:num>
  <w:num w:numId="7" w16cid:durableId="2041005563">
    <w:abstractNumId w:val="7"/>
  </w:num>
  <w:num w:numId="8" w16cid:durableId="439951839">
    <w:abstractNumId w:val="3"/>
  </w:num>
  <w:num w:numId="9" w16cid:durableId="796027691">
    <w:abstractNumId w:val="5"/>
  </w:num>
  <w:num w:numId="10" w16cid:durableId="1915117248">
    <w:abstractNumId w:val="0"/>
  </w:num>
  <w:num w:numId="11" w16cid:durableId="1988313545">
    <w:abstractNumId w:val="6"/>
  </w:num>
  <w:num w:numId="12" w16cid:durableId="9502832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32C"/>
    <w:rsid w:val="00016812"/>
    <w:rsid w:val="000642EC"/>
    <w:rsid w:val="001C412E"/>
    <w:rsid w:val="002258DA"/>
    <w:rsid w:val="0024125B"/>
    <w:rsid w:val="003A2E66"/>
    <w:rsid w:val="004135B3"/>
    <w:rsid w:val="00417CD4"/>
    <w:rsid w:val="00441059"/>
    <w:rsid w:val="00485F33"/>
    <w:rsid w:val="004F5AF2"/>
    <w:rsid w:val="005854A2"/>
    <w:rsid w:val="005C0BE5"/>
    <w:rsid w:val="005F40B6"/>
    <w:rsid w:val="006C68D6"/>
    <w:rsid w:val="006E2703"/>
    <w:rsid w:val="006E6FDF"/>
    <w:rsid w:val="0080295C"/>
    <w:rsid w:val="008429AE"/>
    <w:rsid w:val="00863EF1"/>
    <w:rsid w:val="008C3350"/>
    <w:rsid w:val="008F0D4E"/>
    <w:rsid w:val="00905522"/>
    <w:rsid w:val="009258B3"/>
    <w:rsid w:val="009D3267"/>
    <w:rsid w:val="00A0085C"/>
    <w:rsid w:val="00A4732C"/>
    <w:rsid w:val="00A54691"/>
    <w:rsid w:val="00A60F59"/>
    <w:rsid w:val="00C06A27"/>
    <w:rsid w:val="00C33D11"/>
    <w:rsid w:val="00DE7ACC"/>
    <w:rsid w:val="00DF3D43"/>
    <w:rsid w:val="00E84E2C"/>
    <w:rsid w:val="00E9047C"/>
    <w:rsid w:val="00EA4E54"/>
    <w:rsid w:val="00EC2A70"/>
    <w:rsid w:val="00F63A81"/>
    <w:rsid w:val="00F67B0C"/>
    <w:rsid w:val="00FB1C16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7C84"/>
  <w15:chartTrackingRefBased/>
  <w15:docId w15:val="{957F9BA8-E5FD-4D51-9C3E-962976BA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ndci">
    <w:name w:val="vndci"/>
    <w:basedOn w:val="Carpredefinitoparagrafo"/>
    <w:rsid w:val="00A4732C"/>
  </w:style>
  <w:style w:type="character" w:styleId="Enfasigrassetto">
    <w:name w:val="Strong"/>
    <w:basedOn w:val="Carpredefinitoparagrafo"/>
    <w:uiPriority w:val="22"/>
    <w:qFormat/>
    <w:rsid w:val="00A4732C"/>
    <w:rPr>
      <w:b/>
      <w:bCs/>
    </w:rPr>
  </w:style>
  <w:style w:type="character" w:customStyle="1" w:styleId="dtet0b">
    <w:name w:val="dtet0b"/>
    <w:basedOn w:val="Carpredefinitoparagrafo"/>
    <w:rsid w:val="00A4732C"/>
  </w:style>
  <w:style w:type="character" w:customStyle="1" w:styleId="t286pc">
    <w:name w:val="t286pc"/>
    <w:basedOn w:val="Carpredefinitoparagrafo"/>
    <w:rsid w:val="00A4732C"/>
  </w:style>
  <w:style w:type="character" w:customStyle="1" w:styleId="vkekvd">
    <w:name w:val="vkekvd"/>
    <w:basedOn w:val="Carpredefinitoparagrafo"/>
    <w:rsid w:val="00FE03C5"/>
  </w:style>
  <w:style w:type="character" w:styleId="Enfasicorsivo">
    <w:name w:val="Emphasis"/>
    <w:basedOn w:val="Carpredefinitoparagrafo"/>
    <w:uiPriority w:val="20"/>
    <w:qFormat/>
    <w:rsid w:val="00FE03C5"/>
    <w:rPr>
      <w:i/>
      <w:iCs/>
    </w:rPr>
  </w:style>
  <w:style w:type="paragraph" w:styleId="Paragrafoelenco">
    <w:name w:val="List Paragraph"/>
    <w:basedOn w:val="Normale"/>
    <w:link w:val="ParagrafoelencoCarattere"/>
    <w:uiPriority w:val="34"/>
    <w:qFormat/>
    <w:rsid w:val="001C412E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A60F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0B6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5C0BE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E90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047C"/>
  </w:style>
  <w:style w:type="paragraph" w:styleId="Pidipagina">
    <w:name w:val="footer"/>
    <w:basedOn w:val="Normale"/>
    <w:link w:val="PidipaginaCarattere"/>
    <w:uiPriority w:val="99"/>
    <w:unhideWhenUsed/>
    <w:rsid w:val="00E90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0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5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4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31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28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33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08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23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55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25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60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84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859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0413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6369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3217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4280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090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9976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776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792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964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03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7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3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9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3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1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04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14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13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856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8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8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5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9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71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4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28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399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849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37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07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63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12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30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53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1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233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27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68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3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57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19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9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55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92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5069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570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9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612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722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4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44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1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7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5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74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2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69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99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79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33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20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15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20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57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46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3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79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43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artaserse</dc:creator>
  <cp:keywords/>
  <dc:description/>
  <cp:lastModifiedBy>Giovanni Artaserse</cp:lastModifiedBy>
  <cp:revision>12</cp:revision>
  <dcterms:created xsi:type="dcterms:W3CDTF">2026-02-13T13:43:00Z</dcterms:created>
  <dcterms:modified xsi:type="dcterms:W3CDTF">2026-06-30T09:00:00Z</dcterms:modified>
</cp:coreProperties>
</file>