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1A765">
      <w:pPr>
        <w:widowControl w:val="0"/>
        <w:spacing w:line="360" w:lineRule="auto"/>
        <w:jc w:val="center"/>
        <w:outlineLvl w:val="0"/>
        <w:rPr>
          <w:rFonts w:ascii="Times New Roman" w:hAnsi="Times New Roman" w:eastAsia="宋体" w:cs="宋体"/>
          <w:b/>
          <w:bCs/>
          <w:kern w:val="2"/>
          <w:sz w:val="36"/>
          <w:szCs w:val="36"/>
          <w:lang w:bidi="ar"/>
        </w:rPr>
      </w:pPr>
      <w:r>
        <w:rPr>
          <w:rFonts w:hint="eastAsia" w:ascii="Times New Roman" w:hAnsi="Times New Roman" w:eastAsia="宋体" w:cs="宋体"/>
          <w:b/>
          <w:bCs/>
          <w:kern w:val="2"/>
          <w:sz w:val="36"/>
          <w:szCs w:val="36"/>
          <w:lang w:bidi="ar"/>
        </w:rPr>
        <w:t>Development of a dual vertical Thomson scattering diagnostic system on EAST</w:t>
      </w:r>
    </w:p>
    <w:p w14:paraId="767F995E">
      <w:pPr>
        <w:widowControl w:val="0"/>
        <w:spacing w:line="360" w:lineRule="auto"/>
        <w:jc w:val="center"/>
        <w:outlineLvl w:val="0"/>
        <w:rPr>
          <w:rFonts w:ascii="Times New Roman" w:hAnsi="Times New Roman"/>
          <w:sz w:val="20"/>
          <w:szCs w:val="20"/>
          <w:vertAlign w:val="superscript"/>
        </w:rPr>
      </w:pPr>
      <w:r>
        <w:rPr>
          <w:rFonts w:ascii="Times New Roman" w:hAnsi="Times New Roman" w:eastAsia="宋体"/>
          <w:b/>
          <w:sz w:val="20"/>
          <w:szCs w:val="20"/>
          <w:lang w:bidi="ar"/>
        </w:rPr>
        <w:t>Y. Li</w:t>
      </w:r>
      <w:r>
        <w:rPr>
          <w:rFonts w:ascii="Times New Roman" w:hAnsi="Times New Roman" w:eastAsia="宋体"/>
          <w:b/>
          <w:sz w:val="20"/>
          <w:szCs w:val="20"/>
          <w:vertAlign w:val="superscript"/>
          <w:lang w:bidi="ar"/>
        </w:rPr>
        <w:t>1,2</w:t>
      </w:r>
      <w:r>
        <w:rPr>
          <w:rFonts w:ascii="Times New Roman" w:hAnsi="Times New Roman" w:eastAsia="宋体"/>
          <w:b/>
          <w:sz w:val="20"/>
          <w:szCs w:val="20"/>
          <w:lang w:bidi="ar"/>
        </w:rPr>
        <w:t>, Q. Zang</w:t>
      </w:r>
      <w:r>
        <w:rPr>
          <w:rFonts w:ascii="Times New Roman" w:hAnsi="Times New Roman" w:eastAsia="宋体"/>
          <w:b/>
          <w:sz w:val="20"/>
          <w:szCs w:val="20"/>
          <w:vertAlign w:val="superscript"/>
          <w:lang w:bidi="ar"/>
        </w:rPr>
        <w:t>1,*</w:t>
      </w:r>
      <w:r>
        <w:rPr>
          <w:rFonts w:ascii="Times New Roman" w:hAnsi="Times New Roman" w:eastAsia="宋体"/>
          <w:b/>
          <w:sz w:val="20"/>
          <w:szCs w:val="20"/>
          <w:lang w:bidi="ar"/>
        </w:rPr>
        <w:t>, M.F. Ren</w:t>
      </w:r>
      <w:r>
        <w:rPr>
          <w:rFonts w:ascii="Times New Roman" w:hAnsi="Times New Roman" w:eastAsia="宋体"/>
          <w:b/>
          <w:sz w:val="20"/>
          <w:szCs w:val="20"/>
          <w:vertAlign w:val="superscript"/>
          <w:lang w:bidi="ar"/>
        </w:rPr>
        <w:t>1</w:t>
      </w:r>
      <w:r>
        <w:rPr>
          <w:rFonts w:ascii="Times New Roman" w:hAnsi="Times New Roman" w:eastAsia="宋体"/>
          <w:b/>
          <w:sz w:val="20"/>
          <w:szCs w:val="20"/>
          <w:lang w:bidi="ar"/>
        </w:rPr>
        <w:t>, Y.X. Zhu</w:t>
      </w:r>
      <w:r>
        <w:rPr>
          <w:rFonts w:ascii="Times New Roman" w:hAnsi="Times New Roman" w:eastAsia="宋体"/>
          <w:b/>
          <w:sz w:val="20"/>
          <w:szCs w:val="20"/>
          <w:vertAlign w:val="superscript"/>
          <w:lang w:bidi="ar"/>
        </w:rPr>
        <w:t>1,2</w:t>
      </w:r>
      <w:r>
        <w:rPr>
          <w:rFonts w:ascii="Times New Roman" w:hAnsi="Times New Roman" w:eastAsia="宋体"/>
          <w:b/>
          <w:sz w:val="20"/>
          <w:szCs w:val="20"/>
          <w:lang w:bidi="ar"/>
        </w:rPr>
        <w:t xml:space="preserve">, </w:t>
      </w:r>
      <w:r>
        <w:rPr>
          <w:rFonts w:hint="eastAsia" w:ascii="Times New Roman" w:hAnsi="Times New Roman" w:eastAsia="宋体"/>
          <w:b/>
          <w:sz w:val="20"/>
          <w:szCs w:val="20"/>
          <w:lang w:bidi="ar"/>
        </w:rPr>
        <w:t>J</w:t>
      </w:r>
      <w:r>
        <w:rPr>
          <w:rFonts w:ascii="Times New Roman" w:hAnsi="Times New Roman" w:eastAsia="宋体"/>
          <w:b/>
          <w:sz w:val="20"/>
          <w:szCs w:val="20"/>
          <w:lang w:bidi="ar"/>
        </w:rPr>
        <w:t>.</w:t>
      </w:r>
      <w:r>
        <w:rPr>
          <w:rFonts w:hint="eastAsia" w:ascii="Times New Roman" w:hAnsi="Times New Roman" w:eastAsia="宋体"/>
          <w:b/>
          <w:sz w:val="20"/>
          <w:szCs w:val="20"/>
          <w:lang w:bidi="ar"/>
        </w:rPr>
        <w:t>W.</w:t>
      </w:r>
      <w:r>
        <w:rPr>
          <w:rFonts w:ascii="Times New Roman" w:hAnsi="Times New Roman" w:eastAsia="宋体"/>
          <w:b/>
          <w:sz w:val="20"/>
          <w:szCs w:val="20"/>
          <w:lang w:bidi="ar"/>
        </w:rPr>
        <w:t xml:space="preserve"> </w:t>
      </w:r>
      <w:r>
        <w:rPr>
          <w:rFonts w:hint="eastAsia" w:ascii="Times New Roman" w:hAnsi="Times New Roman" w:eastAsia="宋体"/>
          <w:b/>
          <w:sz w:val="20"/>
          <w:szCs w:val="20"/>
          <w:lang w:bidi="ar"/>
        </w:rPr>
        <w:t>Liu</w:t>
      </w:r>
      <w:r>
        <w:rPr>
          <w:rFonts w:ascii="Times New Roman" w:hAnsi="Times New Roman" w:eastAsia="宋体"/>
          <w:b/>
          <w:sz w:val="20"/>
          <w:szCs w:val="20"/>
          <w:vertAlign w:val="superscript"/>
          <w:lang w:bidi="ar"/>
        </w:rPr>
        <w:t>1</w:t>
      </w:r>
      <w:r>
        <w:rPr>
          <w:rFonts w:ascii="Times New Roman" w:hAnsi="Times New Roman" w:eastAsia="宋体"/>
          <w:b/>
          <w:sz w:val="20"/>
          <w:szCs w:val="20"/>
          <w:lang w:bidi="ar"/>
        </w:rPr>
        <w:t>, L. Chen</w:t>
      </w:r>
      <w:r>
        <w:rPr>
          <w:rFonts w:ascii="Times New Roman" w:hAnsi="Times New Roman" w:eastAsia="宋体"/>
          <w:b/>
          <w:sz w:val="20"/>
          <w:szCs w:val="20"/>
          <w:vertAlign w:val="superscript"/>
          <w:lang w:bidi="ar"/>
        </w:rPr>
        <w:t>1</w:t>
      </w:r>
      <w:r>
        <w:rPr>
          <w:rFonts w:ascii="Times New Roman" w:hAnsi="Times New Roman" w:eastAsia="宋体"/>
          <w:b/>
          <w:sz w:val="20"/>
          <w:szCs w:val="20"/>
          <w:lang w:bidi="ar"/>
        </w:rPr>
        <w:t>, G.L. Lin</w:t>
      </w:r>
      <w:r>
        <w:rPr>
          <w:rFonts w:ascii="Times New Roman" w:hAnsi="Times New Roman" w:eastAsia="宋体"/>
          <w:b/>
          <w:sz w:val="20"/>
          <w:szCs w:val="20"/>
          <w:vertAlign w:val="superscript"/>
          <w:lang w:bidi="ar"/>
        </w:rPr>
        <w:t>1,2</w:t>
      </w:r>
      <w:r>
        <w:rPr>
          <w:rFonts w:ascii="Times New Roman" w:hAnsi="Times New Roman" w:eastAsia="宋体"/>
          <w:b/>
          <w:sz w:val="20"/>
          <w:szCs w:val="20"/>
          <w:lang w:bidi="ar"/>
        </w:rPr>
        <w:t>, J.C. Wang</w:t>
      </w:r>
      <w:r>
        <w:rPr>
          <w:rFonts w:ascii="Times New Roman" w:hAnsi="Times New Roman" w:eastAsia="宋体"/>
          <w:b/>
          <w:sz w:val="20"/>
          <w:szCs w:val="20"/>
          <w:vertAlign w:val="superscript"/>
          <w:lang w:bidi="ar"/>
        </w:rPr>
        <w:t>1,2</w:t>
      </w:r>
      <w:r>
        <w:rPr>
          <w:rFonts w:ascii="Times New Roman" w:hAnsi="Times New Roman" w:eastAsia="宋体"/>
          <w:b/>
          <w:sz w:val="20"/>
          <w:szCs w:val="20"/>
          <w:lang w:bidi="ar"/>
        </w:rPr>
        <w:t>, Y.L. Tang</w:t>
      </w:r>
      <w:r>
        <w:rPr>
          <w:rFonts w:ascii="Times New Roman" w:hAnsi="Times New Roman" w:eastAsia="宋体"/>
          <w:b/>
          <w:sz w:val="20"/>
          <w:szCs w:val="20"/>
          <w:vertAlign w:val="superscript"/>
          <w:lang w:bidi="ar"/>
        </w:rPr>
        <w:t>1</w:t>
      </w:r>
    </w:p>
    <w:p w14:paraId="182B9686">
      <w:pPr>
        <w:pStyle w:val="7"/>
        <w:ind w:right="0"/>
        <w:jc w:val="center"/>
        <w:rPr>
          <w:sz w:val="16"/>
          <w:szCs w:val="16"/>
        </w:rPr>
      </w:pPr>
      <w:r>
        <w:rPr>
          <w:sz w:val="16"/>
          <w:szCs w:val="16"/>
          <w:vertAlign w:val="superscript"/>
        </w:rPr>
        <w:t xml:space="preserve">1 </w:t>
      </w:r>
      <w:r>
        <w:rPr>
          <w:rFonts w:hint="eastAsia"/>
          <w:sz w:val="16"/>
          <w:szCs w:val="16"/>
        </w:rPr>
        <w:t>Institute of Plasma Physics, Hefei Institutes of Physical Science, Chinese Academy of Sciences, Hefei 230031, China</w:t>
      </w:r>
    </w:p>
    <w:p w14:paraId="5B3A5165">
      <w:pPr>
        <w:pStyle w:val="7"/>
        <w:ind w:right="0"/>
        <w:jc w:val="center"/>
        <w:rPr>
          <w:sz w:val="16"/>
          <w:szCs w:val="16"/>
        </w:rPr>
      </w:pPr>
      <w:r>
        <w:rPr>
          <w:sz w:val="16"/>
          <w:szCs w:val="16"/>
          <w:vertAlign w:val="superscript"/>
        </w:rPr>
        <w:t xml:space="preserve">2 </w:t>
      </w:r>
      <w:r>
        <w:rPr>
          <w:rFonts w:hint="eastAsia"/>
          <w:sz w:val="16"/>
          <w:szCs w:val="16"/>
        </w:rPr>
        <w:t>University of Science and Technology of China, Hefei 230026, China</w:t>
      </w:r>
    </w:p>
    <w:p w14:paraId="3BAA2783">
      <w:pPr>
        <w:pStyle w:val="7"/>
        <w:ind w:right="0"/>
        <w:jc w:val="center"/>
        <w:rPr>
          <w:rFonts w:hint="eastAsia"/>
          <w:sz w:val="16"/>
          <w:szCs w:val="16"/>
        </w:rPr>
      </w:pPr>
      <w:r>
        <w:rPr>
          <w:rFonts w:hint="eastAsia"/>
          <w:sz w:val="16"/>
          <w:szCs w:val="16"/>
        </w:rPr>
        <w:t xml:space="preserve">*Author to whom any correspondence should be addressed. E-mail: </w:t>
      </w:r>
      <w:r>
        <w:rPr>
          <w:rFonts w:hint="eastAsia"/>
          <w:sz w:val="16"/>
          <w:szCs w:val="16"/>
        </w:rPr>
        <w:fldChar w:fldCharType="begin"/>
      </w:r>
      <w:r>
        <w:rPr>
          <w:rFonts w:hint="eastAsia"/>
          <w:sz w:val="16"/>
          <w:szCs w:val="16"/>
        </w:rPr>
        <w:instrText xml:space="preserve"> HYPERLINK "mailto:zangq@ipp.ac.cn" </w:instrText>
      </w:r>
      <w:r>
        <w:rPr>
          <w:rFonts w:hint="eastAsia"/>
          <w:sz w:val="16"/>
          <w:szCs w:val="16"/>
        </w:rPr>
        <w:fldChar w:fldCharType="separate"/>
      </w:r>
      <w:r>
        <w:rPr>
          <w:rFonts w:hint="eastAsia"/>
          <w:sz w:val="16"/>
          <w:szCs w:val="16"/>
        </w:rPr>
        <w:fldChar w:fldCharType="end"/>
      </w:r>
      <w:r>
        <w:rPr>
          <w:rFonts w:hint="eastAsia"/>
          <w:sz w:val="16"/>
          <w:szCs w:val="16"/>
        </w:rPr>
        <w:t>zangq@ipp.ac.cn</w:t>
      </w:r>
    </w:p>
    <w:p w14:paraId="5960BE63">
      <w:pPr>
        <w:pStyle w:val="7"/>
        <w:ind w:right="0"/>
        <w:jc w:val="center"/>
        <w:rPr>
          <w:rFonts w:hint="default" w:eastAsiaTheme="minorEastAsia"/>
          <w:sz w:val="16"/>
          <w:szCs w:val="16"/>
          <w:lang w:val="en-US" w:eastAsia="zh-CN"/>
        </w:rPr>
      </w:pPr>
      <w:r>
        <w:rPr>
          <w:rFonts w:hint="eastAsia"/>
          <w:sz w:val="16"/>
          <w:szCs w:val="16"/>
        </w:rPr>
        <w:t>e-mail (speaker)</w:t>
      </w:r>
      <w:r>
        <w:rPr>
          <w:rFonts w:hint="eastAsia"/>
          <w:sz w:val="16"/>
          <w:szCs w:val="16"/>
          <w:lang w:val="en-US" w:eastAsia="zh-CN"/>
        </w:rPr>
        <w:t>: yan.li@ipp.ac.cn</w:t>
      </w:r>
    </w:p>
    <w:p w14:paraId="4C619B27">
      <w:pPr>
        <w:pStyle w:val="7"/>
        <w:ind w:right="0"/>
        <w:jc w:val="center"/>
        <w:rPr>
          <w:rFonts w:hint="eastAsia" w:eastAsiaTheme="minorEastAsia"/>
          <w:sz w:val="16"/>
          <w:szCs w:val="16"/>
          <w:lang w:val="en-US" w:eastAsia="zh-CN"/>
        </w:rPr>
      </w:pPr>
      <w:r>
        <w:rPr>
          <w:rFonts w:hint="eastAsia"/>
          <w:sz w:val="16"/>
          <w:szCs w:val="16"/>
        </w:rPr>
        <w:t>e-mail (corresponding):</w:t>
      </w:r>
      <w:r>
        <w:rPr>
          <w:rFonts w:hint="eastAsia"/>
          <w:sz w:val="16"/>
          <w:szCs w:val="16"/>
          <w:lang w:val="en-US" w:eastAsia="zh-CN"/>
        </w:rPr>
        <w:t xml:space="preserve"> zangq@ipp.ac.cn</w:t>
      </w:r>
    </w:p>
    <w:p w14:paraId="6C06150C">
      <w:pPr>
        <w:spacing w:line="360" w:lineRule="auto"/>
        <w:outlineLvl w:val="0"/>
        <w:rPr>
          <w:rFonts w:ascii="Times New Roman" w:hAnsi="Times New Roman" w:eastAsia="宋体"/>
          <w:b/>
          <w:bCs/>
        </w:rPr>
      </w:pPr>
    </w:p>
    <w:p w14:paraId="7E871D8B">
      <w:pPr>
        <w:spacing w:line="360" w:lineRule="auto"/>
        <w:outlineLvl w:val="0"/>
        <w:rPr>
          <w:rFonts w:hint="default" w:ascii="Times New Roman" w:hAnsi="Times New Roman" w:cs="Times New Roman"/>
          <w:sz w:val="24"/>
          <w:szCs w:val="24"/>
        </w:rPr>
      </w:pPr>
      <w:r>
        <w:rPr>
          <w:rFonts w:ascii="Times New Roman" w:hAnsi="Times New Roman" w:eastAsia="宋体"/>
          <w:b/>
          <w:bCs/>
        </w:rPr>
        <w:t>Abstract</w:t>
      </w:r>
    </w:p>
    <w:p w14:paraId="085FDEB5">
      <w:pPr>
        <w:jc w:val="both"/>
        <w:rPr>
          <w:rFonts w:ascii="Times New Roman" w:hAnsi="Times New Roman"/>
          <w:sz w:val="22"/>
          <w:szCs w:val="22"/>
        </w:rPr>
      </w:pPr>
      <w:r>
        <w:rPr>
          <w:rFonts w:hint="eastAsia" w:ascii="Times New Roman" w:hAnsi="Times New Roman"/>
          <w:sz w:val="22"/>
          <w:szCs w:val="22"/>
        </w:rPr>
        <w:t>A dual diagnostic system that combines traditional Thomson scattering (TS) system with Television Thomson Scattering (TVTS) system based on laser beam combining technique is developed and experimentally demonstrated on EAST.</w:t>
      </w:r>
      <w:r>
        <w:rPr>
          <w:rFonts w:hint="eastAsia" w:ascii="Times New Roman" w:hAnsi="Times New Roman"/>
          <w:sz w:val="22"/>
          <w:szCs w:val="22"/>
          <w:lang w:val="en-US" w:eastAsia="zh-CN"/>
        </w:rPr>
        <w:t xml:space="preserve"> </w:t>
      </w:r>
      <w:r>
        <w:rPr>
          <w:rFonts w:hint="eastAsia" w:ascii="Times New Roman" w:hAnsi="Times New Roman"/>
          <w:sz w:val="22"/>
          <w:szCs w:val="22"/>
        </w:rPr>
        <w:t xml:space="preserve">The vertical dual TS system constructed in this study primarily consists of five components: the laser light source system, optical transmission system, optical collection system, spectrometer and detection system, and synchronous trigger timing control system. The system schematic is shown in Figure </w:t>
      </w:r>
      <w:r>
        <w:rPr>
          <w:rFonts w:hint="eastAsia" w:ascii="Times New Roman" w:hAnsi="Times New Roman"/>
          <w:sz w:val="22"/>
          <w:szCs w:val="22"/>
          <w:lang w:val="en-US" w:eastAsia="zh-CN"/>
        </w:rPr>
        <w:t>1</w:t>
      </w:r>
      <w:r>
        <w:rPr>
          <w:rFonts w:hint="eastAsia" w:ascii="Times New Roman" w:hAnsi="Times New Roman"/>
          <w:sz w:val="22"/>
          <w:szCs w:val="22"/>
        </w:rPr>
        <w:t>. In tokamak plasma, Thomson scattering electron temperature measurements are affected when the electron velocity distribution function deviates from the Maxwellian distribution. To investigate and evaluate this phenomenon, a dual Thomson scattering diagnostic system is required to overcome the limitations of a single system. The TVTS system in the dual system primarily covers a 32 mm region along the Z-axis with a spatial resolution of approximately 10 mm.</w:t>
      </w:r>
    </w:p>
    <w:p w14:paraId="60EF7C00">
      <w:pPr>
        <w:jc w:val="both"/>
        <w:rPr>
          <w:rFonts w:ascii="Times New Roman" w:hAnsi="Times New Roman"/>
          <w:sz w:val="22"/>
          <w:szCs w:val="22"/>
        </w:rPr>
      </w:pPr>
      <w:r>
        <w:rPr>
          <w:rFonts w:hint="eastAsia" w:ascii="Times New Roman" w:hAnsi="Times New Roman"/>
          <w:sz w:val="22"/>
          <w:szCs w:val="22"/>
        </w:rPr>
        <w:t xml:space="preserve">The study analyzed the theoretical basis for collaborative measurements in dual TS system and conducted subsystem optimization designs to meet the requirements for synchronous operation of dual systems. </w:t>
      </w:r>
      <w:r>
        <w:rPr>
          <w:rFonts w:ascii="Times New Roman" w:hAnsi="Times New Roman"/>
          <w:sz w:val="22"/>
          <w:szCs w:val="22"/>
        </w:rPr>
        <w:t xml:space="preserve">Based on the design of the two systems, the dual system can perform a comparative analysis of the Thomson scattering signals across </w:t>
      </w:r>
      <w:r>
        <w:rPr>
          <w:rFonts w:hint="eastAsia" w:ascii="Times New Roman" w:hAnsi="Times New Roman"/>
          <w:sz w:val="22"/>
          <w:szCs w:val="22"/>
        </w:rPr>
        <w:t>T</w:t>
      </w:r>
      <w:r>
        <w:rPr>
          <w:rFonts w:ascii="Times New Roman" w:hAnsi="Times New Roman"/>
          <w:sz w:val="22"/>
          <w:szCs w:val="22"/>
          <w:vertAlign w:val="subscript"/>
        </w:rPr>
        <w:t>e</w:t>
      </w:r>
      <w:r>
        <w:rPr>
          <w:rFonts w:ascii="Times New Roman" w:hAnsi="Times New Roman"/>
          <w:sz w:val="22"/>
          <w:szCs w:val="22"/>
        </w:rPr>
        <w:t xml:space="preserve"> from 50 to </w:t>
      </w:r>
      <w:r>
        <w:rPr>
          <w:rFonts w:hint="eastAsia" w:ascii="Times New Roman" w:hAnsi="Times New Roman"/>
          <w:sz w:val="22"/>
          <w:szCs w:val="22"/>
        </w:rPr>
        <w:t>4</w:t>
      </w:r>
      <w:r>
        <w:rPr>
          <w:rFonts w:ascii="Times New Roman" w:hAnsi="Times New Roman"/>
          <w:sz w:val="22"/>
          <w:szCs w:val="22"/>
        </w:rPr>
        <w:t xml:space="preserve">000 eV and </w:t>
      </w:r>
      <w:r>
        <w:rPr>
          <w:rFonts w:hint="eastAsia" w:ascii="Times New Roman" w:hAnsi="Times New Roman"/>
          <w:sz w:val="22"/>
          <w:szCs w:val="22"/>
        </w:rPr>
        <w:t>n</w:t>
      </w:r>
      <w:r>
        <w:rPr>
          <w:rFonts w:ascii="Times New Roman" w:hAnsi="Times New Roman"/>
          <w:sz w:val="22"/>
          <w:szCs w:val="22"/>
          <w:vertAlign w:val="subscript"/>
        </w:rPr>
        <w:t>e</w:t>
      </w:r>
      <w:r>
        <w:rPr>
          <w:rFonts w:ascii="Times New Roman" w:hAnsi="Times New Roman"/>
          <w:sz w:val="22"/>
          <w:szCs w:val="22"/>
        </w:rPr>
        <w:t xml:space="preserve"> from 0.1 to</w:t>
      </w:r>
      <w:r>
        <w:rPr>
          <w:rFonts w:hint="eastAsia" w:ascii="Times New Roman" w:hAnsi="Times New Roman"/>
          <w:sz w:val="22"/>
          <w:szCs w:val="22"/>
        </w:rPr>
        <w:t xml:space="preserve"> </w:t>
      </w:r>
      <m:oMath>
        <m:r>
          <m:rPr>
            <m:nor/>
            <m:sty m:val="p"/>
          </m:rPr>
          <w:rPr>
            <w:rFonts w:ascii="Times New Roman" w:hAnsi="Times New Roman"/>
            <w:b w:val="0"/>
            <w:i w:val="0"/>
            <w:sz w:val="22"/>
            <w:szCs w:val="22"/>
          </w:rPr>
          <m:t>1×</m:t>
        </m:r>
        <m:sSup>
          <m:sSupPr>
            <m:ctrlPr>
              <w:rPr>
                <w:rFonts w:ascii="Cambria Math" w:hAnsi="Cambria Math"/>
                <w:sz w:val="22"/>
                <w:szCs w:val="22"/>
              </w:rPr>
            </m:ctrlPr>
          </m:sSupPr>
          <m:e>
            <m:r>
              <m:rPr>
                <m:nor/>
                <m:sty m:val="p"/>
              </m:rPr>
              <w:rPr>
                <w:rFonts w:ascii="Times New Roman" w:hAnsi="Times New Roman"/>
                <w:b w:val="0"/>
                <w:i w:val="0"/>
                <w:sz w:val="22"/>
                <w:szCs w:val="22"/>
              </w:rPr>
              <m:t>10</m:t>
            </m:r>
            <m:ctrlPr>
              <w:rPr>
                <w:rFonts w:ascii="Cambria Math" w:hAnsi="Cambria Math"/>
                <w:sz w:val="22"/>
                <w:szCs w:val="22"/>
              </w:rPr>
            </m:ctrlPr>
          </m:e>
          <m:sup>
            <m:r>
              <m:rPr>
                <m:nor/>
                <m:sty m:val="p"/>
              </m:rPr>
              <w:rPr>
                <w:rFonts w:ascii="Times New Roman" w:hAnsi="Times New Roman"/>
                <w:b w:val="0"/>
                <w:i w:val="0"/>
                <w:sz w:val="22"/>
                <w:szCs w:val="22"/>
              </w:rPr>
              <m:t>19</m:t>
            </m:r>
            <m:ctrlPr>
              <w:rPr>
                <w:rFonts w:ascii="Cambria Math" w:hAnsi="Cambria Math"/>
                <w:sz w:val="22"/>
                <w:szCs w:val="22"/>
              </w:rPr>
            </m:ctrlPr>
          </m:sup>
        </m:sSup>
        <m:sSup>
          <m:sSupPr>
            <m:ctrlPr>
              <w:rPr>
                <w:rFonts w:ascii="Cambria Math" w:hAnsi="Cambria Math"/>
                <w:sz w:val="22"/>
                <w:szCs w:val="22"/>
              </w:rPr>
            </m:ctrlPr>
          </m:sSupPr>
          <m:e>
            <m:r>
              <m:rPr>
                <m:nor/>
                <m:sty m:val="p"/>
              </m:rPr>
              <w:rPr>
                <w:rFonts w:ascii="Times New Roman" w:hAnsi="Times New Roman"/>
                <w:b w:val="0"/>
                <w:i w:val="0"/>
                <w:sz w:val="22"/>
                <w:szCs w:val="22"/>
              </w:rPr>
              <m:t>m</m:t>
            </m:r>
            <m:ctrlPr>
              <w:rPr>
                <w:rFonts w:ascii="Cambria Math" w:hAnsi="Cambria Math"/>
                <w:sz w:val="22"/>
                <w:szCs w:val="22"/>
              </w:rPr>
            </m:ctrlPr>
          </m:e>
          <m:sup>
            <m:r>
              <m:rPr>
                <m:nor/>
                <m:sty m:val="p"/>
              </m:rPr>
              <w:rPr>
                <w:rFonts w:ascii="Times New Roman" w:hAnsi="Times New Roman"/>
                <w:b w:val="0"/>
                <w:i w:val="0"/>
                <w:sz w:val="22"/>
                <w:szCs w:val="22"/>
              </w:rPr>
              <m:t>-3</m:t>
            </m:r>
            <m:ctrlPr>
              <w:rPr>
                <w:rFonts w:ascii="Cambria Math" w:hAnsi="Cambria Math"/>
                <w:sz w:val="22"/>
                <w:szCs w:val="22"/>
              </w:rPr>
            </m:ctrlPr>
          </m:sup>
        </m:sSup>
      </m:oMath>
      <w:r>
        <w:rPr>
          <w:rFonts w:hint="eastAsia" w:hAnsi="Cambria Math"/>
          <w:sz w:val="22"/>
          <w:szCs w:val="22"/>
        </w:rPr>
        <w:t xml:space="preserve">. </w:t>
      </w:r>
      <w:r>
        <w:rPr>
          <w:rFonts w:ascii="Times New Roman" w:hAnsi="Times New Roman"/>
          <w:sz w:val="22"/>
          <w:szCs w:val="22"/>
        </w:rPr>
        <w:t>Experiments on EAST H-mode discharges demonstrate the feasibility of the laser beam combining technique and the reliability of the dual diagnostic system. Subsequent simulation analysis and collaborative diagnostic methods for the dual systems are further discussed, offering new insights into electron temperature measurement in non-Maxwellian plasma. This work is significant for optimizing EAST plasma confinement performance, investigating core transport barriers, and advancing research on plasma dynamics.</w:t>
      </w:r>
    </w:p>
    <w:p w14:paraId="5777A624">
      <w:pPr>
        <w:jc w:val="center"/>
        <w:rPr>
          <w:rFonts w:ascii="Times New Roman" w:hAnsi="Times New Roman"/>
        </w:rPr>
      </w:pPr>
      <w:r>
        <w:rPr>
          <w:rFonts w:ascii="Times New Roman" w:hAnsi="Times New Roman"/>
        </w:rPr>
        <w:drawing>
          <wp:inline distT="0" distB="0" distL="0" distR="0">
            <wp:extent cx="5266690" cy="2962910"/>
            <wp:effectExtent l="0" t="0" r="10160" b="8890"/>
            <wp:docPr id="3119116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11694" name="图片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66690" cy="2962910"/>
                    </a:xfrm>
                    <a:prstGeom prst="rect">
                      <a:avLst/>
                    </a:prstGeom>
                    <a:noFill/>
                    <a:ln>
                      <a:noFill/>
                    </a:ln>
                  </pic:spPr>
                </pic:pic>
              </a:graphicData>
            </a:graphic>
          </wp:inline>
        </w:drawing>
      </w:r>
    </w:p>
    <w:p w14:paraId="242D95E9">
      <w:pPr>
        <w:jc w:val="center"/>
        <w:rPr>
          <w:rFonts w:ascii="Times New Roman" w:hAnsi="Times New Roman"/>
          <w:sz w:val="20"/>
          <w:szCs w:val="20"/>
        </w:rPr>
      </w:pPr>
      <w:r>
        <w:rPr>
          <w:rFonts w:ascii="Times New Roman" w:hAnsi="Times New Roman"/>
          <w:b/>
          <w:bCs/>
          <w:sz w:val="20"/>
          <w:szCs w:val="20"/>
        </w:rPr>
        <w:t xml:space="preserve">Figure </w:t>
      </w:r>
      <w:r>
        <w:rPr>
          <w:rFonts w:hint="eastAsia" w:ascii="Times New Roman" w:hAnsi="Times New Roman"/>
          <w:b/>
          <w:bCs/>
          <w:sz w:val="20"/>
          <w:szCs w:val="20"/>
          <w:lang w:val="en-US" w:eastAsia="zh-CN"/>
        </w:rPr>
        <w:t>1</w:t>
      </w:r>
      <w:r>
        <w:rPr>
          <w:rFonts w:ascii="Times New Roman" w:hAnsi="Times New Roman"/>
          <w:b/>
          <w:bCs/>
          <w:sz w:val="20"/>
          <w:szCs w:val="20"/>
        </w:rPr>
        <w:t xml:space="preserve">. </w:t>
      </w:r>
      <w:r>
        <w:rPr>
          <w:rFonts w:hint="eastAsia" w:ascii="Times New Roman" w:hAnsi="Times New Roman"/>
          <w:sz w:val="20"/>
          <w:szCs w:val="20"/>
        </w:rPr>
        <w:t>Schematic diagram of the dual system for traditional TS and TVTS system in EAST.</w:t>
      </w:r>
    </w:p>
    <w:p w14:paraId="42080830">
      <w:pPr>
        <w:jc w:val="both"/>
        <w:rPr>
          <w:rFonts w:ascii="Times New Roman" w:hAnsi="Times New Roman"/>
          <w:sz w:val="22"/>
          <w:szCs w:val="22"/>
        </w:rPr>
      </w:pPr>
    </w:p>
    <w:p w14:paraId="365210CC">
      <w:pPr>
        <w:wordWrap w:val="0"/>
        <w:jc w:val="both"/>
        <w:rPr>
          <w:rFonts w:hint="eastAsia" w:ascii="Times New Roman" w:hAnsi="Times New Roman"/>
          <w:sz w:val="22"/>
          <w:szCs w:val="22"/>
        </w:rPr>
      </w:pPr>
      <w:r>
        <w:rPr>
          <w:rFonts w:ascii="Times New Roman" w:hAnsi="Times New Roman"/>
          <w:sz w:val="22"/>
          <w:szCs w:val="22"/>
        </w:rPr>
        <w:t>Keywords: TV Thomson scattering;</w:t>
      </w:r>
      <w:r>
        <w:rPr>
          <w:rFonts w:hint="eastAsia" w:ascii="Times New Roman" w:hAnsi="Times New Roman"/>
          <w:sz w:val="22"/>
          <w:szCs w:val="22"/>
        </w:rPr>
        <w:t xml:space="preserve"> </w:t>
      </w:r>
      <w:r>
        <w:fldChar w:fldCharType="begin"/>
      </w:r>
      <w:r>
        <w:instrText xml:space="preserve"> HYPERLINK "https://pubs.aip.org/rsi/search-results?page=1&amp;tax=P4675P6200" </w:instrText>
      </w:r>
      <w:r>
        <w:fldChar w:fldCharType="separate"/>
      </w:r>
      <w:r>
        <w:rPr>
          <w:rFonts w:ascii="Times New Roman" w:hAnsi="Times New Roman"/>
          <w:sz w:val="22"/>
          <w:szCs w:val="22"/>
        </w:rPr>
        <w:t>Tokamaks</w:t>
      </w:r>
      <w:r>
        <w:rPr>
          <w:rFonts w:ascii="Times New Roman" w:hAnsi="Times New Roman"/>
          <w:sz w:val="22"/>
          <w:szCs w:val="22"/>
        </w:rPr>
        <w:fldChar w:fldCharType="end"/>
      </w:r>
      <w:r>
        <w:rPr>
          <w:rFonts w:hint="eastAsia" w:ascii="Times New Roman" w:hAnsi="Times New Roman"/>
          <w:sz w:val="22"/>
          <w:szCs w:val="22"/>
        </w:rPr>
        <w:t xml:space="preserve">; </w:t>
      </w:r>
      <w:r>
        <w:rPr>
          <w:rFonts w:ascii="Times New Roman" w:hAnsi="Times New Roman"/>
          <w:sz w:val="22"/>
          <w:szCs w:val="22"/>
        </w:rPr>
        <w:t>Thomson Scattering</w:t>
      </w:r>
      <w:r>
        <w:rPr>
          <w:rFonts w:hint="eastAsia" w:ascii="Times New Roman" w:hAnsi="Times New Roman"/>
          <w:sz w:val="22"/>
          <w:szCs w:val="22"/>
        </w:rPr>
        <w:t>; Beam combining; Non-Maxwellian distribution;</w:t>
      </w:r>
    </w:p>
    <w:p w14:paraId="614B0343">
      <w:pPr>
        <w:wordWrap w:val="0"/>
        <w:jc w:val="both"/>
        <w:rPr>
          <w:rFonts w:hint="default" w:ascii="Times New Roman" w:hAnsi="Times New Roman"/>
          <w:sz w:val="22"/>
          <w:szCs w:val="2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515"/>
    <w:rsid w:val="004C072C"/>
    <w:rsid w:val="01692EE6"/>
    <w:rsid w:val="0277699E"/>
    <w:rsid w:val="0573627F"/>
    <w:rsid w:val="05EE0D04"/>
    <w:rsid w:val="065D1E50"/>
    <w:rsid w:val="069B1C74"/>
    <w:rsid w:val="06D10CF4"/>
    <w:rsid w:val="06DB54FE"/>
    <w:rsid w:val="06E33747"/>
    <w:rsid w:val="084D7F6A"/>
    <w:rsid w:val="0889314B"/>
    <w:rsid w:val="095350C8"/>
    <w:rsid w:val="0B294F23"/>
    <w:rsid w:val="0C137E2E"/>
    <w:rsid w:val="0D39243E"/>
    <w:rsid w:val="0DAF17C3"/>
    <w:rsid w:val="0DD01B6C"/>
    <w:rsid w:val="0F605D6E"/>
    <w:rsid w:val="0FEA78FF"/>
    <w:rsid w:val="1085371F"/>
    <w:rsid w:val="109236CE"/>
    <w:rsid w:val="10F2224B"/>
    <w:rsid w:val="10FD73FB"/>
    <w:rsid w:val="11001A0B"/>
    <w:rsid w:val="115923C6"/>
    <w:rsid w:val="12A67FF5"/>
    <w:rsid w:val="12D75B39"/>
    <w:rsid w:val="151C10E6"/>
    <w:rsid w:val="153A0F4F"/>
    <w:rsid w:val="17682AB4"/>
    <w:rsid w:val="179455DA"/>
    <w:rsid w:val="19277494"/>
    <w:rsid w:val="1AA10734"/>
    <w:rsid w:val="1AD341B4"/>
    <w:rsid w:val="1B0174D9"/>
    <w:rsid w:val="1B655B9D"/>
    <w:rsid w:val="1C173F11"/>
    <w:rsid w:val="1C284379"/>
    <w:rsid w:val="1D716ABD"/>
    <w:rsid w:val="1D992CC6"/>
    <w:rsid w:val="1DB544CB"/>
    <w:rsid w:val="1EB30E8A"/>
    <w:rsid w:val="1EC36E61"/>
    <w:rsid w:val="21DF5F03"/>
    <w:rsid w:val="22591AAC"/>
    <w:rsid w:val="22CD171B"/>
    <w:rsid w:val="22E34169"/>
    <w:rsid w:val="24ED4179"/>
    <w:rsid w:val="24EF3AAC"/>
    <w:rsid w:val="26BE3C6D"/>
    <w:rsid w:val="28573AAF"/>
    <w:rsid w:val="29370ED5"/>
    <w:rsid w:val="2A0F5CF2"/>
    <w:rsid w:val="2B580990"/>
    <w:rsid w:val="2C4C677E"/>
    <w:rsid w:val="2D1E1F0F"/>
    <w:rsid w:val="2D2D6414"/>
    <w:rsid w:val="2D362592"/>
    <w:rsid w:val="2DAC59A9"/>
    <w:rsid w:val="2DB22138"/>
    <w:rsid w:val="2E35578C"/>
    <w:rsid w:val="2E600529"/>
    <w:rsid w:val="2E927169"/>
    <w:rsid w:val="2E975E3B"/>
    <w:rsid w:val="2F0150B1"/>
    <w:rsid w:val="2F063825"/>
    <w:rsid w:val="2F6E41DC"/>
    <w:rsid w:val="30166E04"/>
    <w:rsid w:val="30A26BD8"/>
    <w:rsid w:val="31B7317F"/>
    <w:rsid w:val="31C04F70"/>
    <w:rsid w:val="327A3A7F"/>
    <w:rsid w:val="32DF7592"/>
    <w:rsid w:val="33A51425"/>
    <w:rsid w:val="34BA1B97"/>
    <w:rsid w:val="35481D11"/>
    <w:rsid w:val="354843EE"/>
    <w:rsid w:val="355E7F82"/>
    <w:rsid w:val="35977AFB"/>
    <w:rsid w:val="366E4F8C"/>
    <w:rsid w:val="36C42557"/>
    <w:rsid w:val="36CB163A"/>
    <w:rsid w:val="36F2693A"/>
    <w:rsid w:val="37691503"/>
    <w:rsid w:val="37C67AC3"/>
    <w:rsid w:val="391F6A17"/>
    <w:rsid w:val="394F336F"/>
    <w:rsid w:val="39BD4959"/>
    <w:rsid w:val="3A0478F9"/>
    <w:rsid w:val="3AB31332"/>
    <w:rsid w:val="3B2042F8"/>
    <w:rsid w:val="3BC6566B"/>
    <w:rsid w:val="3BED01D7"/>
    <w:rsid w:val="3C077158"/>
    <w:rsid w:val="3C1E23A9"/>
    <w:rsid w:val="3C8F00A0"/>
    <w:rsid w:val="3D244731"/>
    <w:rsid w:val="3DDB7206"/>
    <w:rsid w:val="3FF979B1"/>
    <w:rsid w:val="40131B88"/>
    <w:rsid w:val="40407F78"/>
    <w:rsid w:val="40C16B7A"/>
    <w:rsid w:val="41A23686"/>
    <w:rsid w:val="423828EB"/>
    <w:rsid w:val="441731CC"/>
    <w:rsid w:val="447D23EA"/>
    <w:rsid w:val="463A408D"/>
    <w:rsid w:val="46DA760A"/>
    <w:rsid w:val="485E673F"/>
    <w:rsid w:val="48A61A23"/>
    <w:rsid w:val="48C73826"/>
    <w:rsid w:val="49930F00"/>
    <w:rsid w:val="49D255A5"/>
    <w:rsid w:val="4A227375"/>
    <w:rsid w:val="4A9D6A37"/>
    <w:rsid w:val="4B2C462F"/>
    <w:rsid w:val="4B826940"/>
    <w:rsid w:val="4CC00435"/>
    <w:rsid w:val="4D0713AF"/>
    <w:rsid w:val="4E04449D"/>
    <w:rsid w:val="4E3D4C6E"/>
    <w:rsid w:val="4EAB268C"/>
    <w:rsid w:val="4EDA0F31"/>
    <w:rsid w:val="4FE90275"/>
    <w:rsid w:val="50B335C2"/>
    <w:rsid w:val="51450519"/>
    <w:rsid w:val="53AB4378"/>
    <w:rsid w:val="53EC5BF6"/>
    <w:rsid w:val="5405115E"/>
    <w:rsid w:val="54210D44"/>
    <w:rsid w:val="54216EF2"/>
    <w:rsid w:val="546155E5"/>
    <w:rsid w:val="54C72F48"/>
    <w:rsid w:val="56534C33"/>
    <w:rsid w:val="56A71988"/>
    <w:rsid w:val="56E23B89"/>
    <w:rsid w:val="572A7BAD"/>
    <w:rsid w:val="574751F3"/>
    <w:rsid w:val="57596838"/>
    <w:rsid w:val="59824C71"/>
    <w:rsid w:val="59A21B70"/>
    <w:rsid w:val="5ADB7A40"/>
    <w:rsid w:val="5C0427A3"/>
    <w:rsid w:val="5CDE0967"/>
    <w:rsid w:val="5E611531"/>
    <w:rsid w:val="5E6949F1"/>
    <w:rsid w:val="5E9934BA"/>
    <w:rsid w:val="5F32387E"/>
    <w:rsid w:val="60940F15"/>
    <w:rsid w:val="60E95B1D"/>
    <w:rsid w:val="61534D17"/>
    <w:rsid w:val="61BF07B3"/>
    <w:rsid w:val="61C0641E"/>
    <w:rsid w:val="62496E7B"/>
    <w:rsid w:val="63532146"/>
    <w:rsid w:val="6366125F"/>
    <w:rsid w:val="6378382A"/>
    <w:rsid w:val="639B0240"/>
    <w:rsid w:val="63AA79F6"/>
    <w:rsid w:val="645F1EFA"/>
    <w:rsid w:val="64D56A09"/>
    <w:rsid w:val="658571B6"/>
    <w:rsid w:val="6838440D"/>
    <w:rsid w:val="68E0058C"/>
    <w:rsid w:val="6AF10302"/>
    <w:rsid w:val="6D512769"/>
    <w:rsid w:val="6D6D6AF3"/>
    <w:rsid w:val="6E325B18"/>
    <w:rsid w:val="6E5C0546"/>
    <w:rsid w:val="6EA860A2"/>
    <w:rsid w:val="6F4848C9"/>
    <w:rsid w:val="6FB42545"/>
    <w:rsid w:val="6FEA0B4A"/>
    <w:rsid w:val="70CF2996"/>
    <w:rsid w:val="717B129D"/>
    <w:rsid w:val="71B1320B"/>
    <w:rsid w:val="73951C39"/>
    <w:rsid w:val="74266BA3"/>
    <w:rsid w:val="748E6E38"/>
    <w:rsid w:val="75066937"/>
    <w:rsid w:val="76B731C2"/>
    <w:rsid w:val="76F07E76"/>
    <w:rsid w:val="77A54A93"/>
    <w:rsid w:val="793E56FC"/>
    <w:rsid w:val="79537F2D"/>
    <w:rsid w:val="7A5A398D"/>
    <w:rsid w:val="7A8B43E4"/>
    <w:rsid w:val="7AC4464D"/>
    <w:rsid w:val="7B425A22"/>
    <w:rsid w:val="7BE470B3"/>
    <w:rsid w:val="7C083943"/>
    <w:rsid w:val="7C4066A3"/>
    <w:rsid w:val="7CD410F5"/>
    <w:rsid w:val="7DD50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uiPriority w:val="0"/>
    <w:rPr>
      <w:color w:val="0000FF"/>
      <w:u w:val="single"/>
    </w:rPr>
  </w:style>
  <w:style w:type="paragraph" w:customStyle="1" w:styleId="7">
    <w:name w:val="IOPAff"/>
    <w:basedOn w:val="8"/>
    <w:qFormat/>
    <w:uiPriority w:val="0"/>
    <w:pPr>
      <w:spacing w:after="0"/>
    </w:pPr>
    <w:rPr>
      <w:rFonts w:ascii="Times New Roman" w:hAnsi="Times New Roman"/>
      <w:b w:val="0"/>
      <w:sz w:val="18"/>
      <w:szCs w:val="18"/>
    </w:rPr>
  </w:style>
  <w:style w:type="paragraph" w:customStyle="1" w:styleId="8">
    <w:name w:val="IOPAuthor"/>
    <w:basedOn w:val="1"/>
    <w:qFormat/>
    <w:uiPriority w:val="0"/>
    <w:pPr>
      <w:spacing w:after="200"/>
      <w:ind w:right="2552"/>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369</Words>
  <Characters>2251</Characters>
  <Lines>0</Lines>
  <Paragraphs>0</Paragraphs>
  <TotalTime>0</TotalTime>
  <ScaleCrop>false</ScaleCrop>
  <LinksUpToDate>false</LinksUpToDate>
  <CharactersWithSpaces>2608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2025-07-08T02:15:00Z</dcterms:created>
  <dc:creator>DELL</dc:creator>
  <cp:lastModifiedBy>yan</cp:lastModifiedBy>
  <dcterms:modified xsi:type="dcterms:W3CDTF">2026-04-10T03:09:57Z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3BDA9365E86D4CBA9C1B0E923DCD82FB_12</vt:lpwstr>
  </property>
  <property fmtid="{D5CDD505-2E9C-101B-9397-08002B2CF9AE}" pid="4" name="KSOTemplateDocerSaveRecord">
    <vt:lpwstr>eyJoZGlkIjoiNzgxN2ExMWVkNTg3NzIzZmQ3NmE1NTg2Y2RhZTYzZTMiLCJ1c2VySWQiOiI1Nzc2NDA5NTUifQ==</vt:lpwstr>
  </property>
</Properties>
</file>