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0C160" w14:textId="6C8BE9AC" w:rsidR="00141C86" w:rsidRDefault="006B6694" w:rsidP="002D22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From Discharge Physics to Reactive Chemistry: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an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Integrated Diagnostic Path to Plasma Agriculture.</w:t>
      </w:r>
    </w:p>
    <w:p w14:paraId="0052C22A" w14:textId="77777777" w:rsidR="00BC6DE9" w:rsidRPr="00BC6DE9" w:rsidRDefault="00BC6DE9" w:rsidP="00BC6D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0B8EB5C7" w14:textId="47015DE0" w:rsidR="005C7DC5" w:rsidRPr="002D2228" w:rsidRDefault="005C7DC5" w:rsidP="002D2228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Domenico Aceto</w:t>
      </w:r>
      <w:proofErr w:type="gramStart"/>
      <w:r>
        <w:rPr>
          <w:rFonts w:ascii="Times New Roman" w:hAnsi="Times New Roman" w:cs="Times New Roman"/>
          <w:vertAlign w:val="superscript"/>
        </w:rPr>
        <w:t>1,*</w:t>
      </w:r>
      <w:proofErr w:type="gramEnd"/>
      <w:r>
        <w:rPr>
          <w:rFonts w:ascii="Times New Roman" w:hAnsi="Times New Roman" w:cs="Times New Roman"/>
        </w:rPr>
        <w:t>, M. Ambrico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G. Dilecce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P. F. Ambrico</w:t>
      </w:r>
      <w:r>
        <w:rPr>
          <w:rFonts w:ascii="Times New Roman" w:hAnsi="Times New Roman" w:cs="Times New Roman"/>
          <w:vertAlign w:val="superscript"/>
        </w:rPr>
        <w:t>1</w:t>
      </w:r>
    </w:p>
    <w:p w14:paraId="27F02574" w14:textId="77777777" w:rsidR="002D2228" w:rsidRPr="001B67FE" w:rsidRDefault="002D2228" w:rsidP="002D222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0E921F1" w14:textId="77777777" w:rsidR="00815DFB" w:rsidRPr="00BE48EE" w:rsidRDefault="00B37D88" w:rsidP="002D2228">
      <w:pPr>
        <w:pStyle w:val="Textbody"/>
        <w:autoSpaceDE w:val="0"/>
        <w:spacing w:after="0" w:line="240" w:lineRule="auto"/>
        <w:jc w:val="center"/>
        <w:rPr>
          <w:rFonts w:ascii="Times New Roman" w:hAnsi="Times New Roman"/>
          <w:bCs/>
          <w:i/>
          <w:iCs/>
          <w:lang w:val="en-GB"/>
        </w:rPr>
      </w:pPr>
      <w:r>
        <w:rPr>
          <w:rFonts w:ascii="Times New Roman" w:hAnsi="Times New Roman"/>
          <w:i/>
          <w:iCs/>
          <w:vertAlign w:val="superscript"/>
        </w:rPr>
        <w:t>1</w:t>
      </w:r>
      <w:r>
        <w:rPr>
          <w:rFonts w:ascii="Times New Roman" w:hAnsi="Times New Roman"/>
          <w:bCs/>
          <w:i/>
          <w:iCs/>
          <w:lang w:val="en-GB"/>
        </w:rPr>
        <w:t xml:space="preserve">National Research Council of Italy, Institute for Plasma Science and Technology (CNR-ISTP), Bari, Italy. </w:t>
      </w:r>
    </w:p>
    <w:p w14:paraId="116FDFFD" w14:textId="45DAE98B" w:rsidR="00B37D88" w:rsidRDefault="00B37D88" w:rsidP="002D2228">
      <w:pPr>
        <w:pStyle w:val="Textbody"/>
        <w:autoSpaceDE w:val="0"/>
        <w:spacing w:after="0" w:line="240" w:lineRule="auto"/>
        <w:jc w:val="center"/>
        <w:rPr>
          <w:rFonts w:ascii="Times New Roman" w:hAnsi="Times New Roman"/>
          <w:i/>
          <w:iCs/>
          <w:lang w:val="fr-FR"/>
        </w:rPr>
      </w:pPr>
      <w:r>
        <w:rPr>
          <w:rFonts w:ascii="Times New Roman" w:hAnsi="Times New Roman"/>
          <w:i/>
          <w:iCs/>
          <w:lang w:val="fr-FR"/>
        </w:rPr>
        <w:t xml:space="preserve">*Contact </w:t>
      </w:r>
      <w:proofErr w:type="gramStart"/>
      <w:r>
        <w:rPr>
          <w:rFonts w:ascii="Times New Roman" w:hAnsi="Times New Roman"/>
          <w:i/>
          <w:iCs/>
          <w:lang w:val="fr-FR"/>
        </w:rPr>
        <w:t>e-mail:</w:t>
      </w:r>
      <w:proofErr w:type="gramEnd"/>
      <w:r>
        <w:rPr>
          <w:rFonts w:ascii="Times New Roman" w:hAnsi="Times New Roman"/>
          <w:i/>
          <w:iCs/>
          <w:lang w:val="fr-FR"/>
        </w:rPr>
        <w:t xml:space="preserve"> domenico.aceto@cnr.it</w:t>
      </w:r>
    </w:p>
    <w:p w14:paraId="0643B47D" w14:textId="77777777" w:rsidR="002D2228" w:rsidRPr="002D2228" w:rsidRDefault="002D2228" w:rsidP="002D2228">
      <w:pPr>
        <w:pStyle w:val="Textbody"/>
        <w:autoSpaceDE w:val="0"/>
        <w:spacing w:after="0" w:line="240" w:lineRule="auto"/>
        <w:jc w:val="center"/>
        <w:rPr>
          <w:rFonts w:ascii="Times New Roman" w:hAnsi="Times New Roman"/>
          <w:bCs/>
          <w:lang w:val="en-GB"/>
        </w:rPr>
      </w:pPr>
    </w:p>
    <w:p w14:paraId="068CEF69" w14:textId="59D6918E" w:rsidR="001F4D6D" w:rsidRPr="003B13EE" w:rsidRDefault="001F4D6D" w:rsidP="003B13EE">
      <w:pPr>
        <w:spacing w:after="0" w:line="360" w:lineRule="auto"/>
        <w:ind w:firstLine="340"/>
        <w:jc w:val="both"/>
        <w:rPr>
          <w:rFonts w:ascii="Times New Roman" w:hAnsi="Times New Roman" w:cs="Times New Roman"/>
          <w:lang w:val="en-GB"/>
        </w:rPr>
      </w:pPr>
      <w:r w:rsidRPr="003B13EE">
        <w:rPr>
          <w:rFonts w:ascii="Times New Roman" w:hAnsi="Times New Roman" w:cs="Times New Roman"/>
          <w:lang w:val="en-GB"/>
        </w:rPr>
        <w:t>Plasma agriculture exploits low-temperature plasmas to generate Reactive Oxygen and Nitrogen Species (RONS) that enhance seed germination [1, 2], stimulate plant growth [3], improve post-harvest preservation [4, 5], and reduce pesticide residues [5]. Large-scale deployment requires quantitative understanding and control of plasma-driven reactive chemistry across gas and liquid phases, a demand reinforced by the growing interest in Plasma-Activated Water (PAW) [6].</w:t>
      </w:r>
    </w:p>
    <w:p w14:paraId="27ACD295" w14:textId="56EF48B6" w:rsidR="001F4D6D" w:rsidRPr="003B13EE" w:rsidRDefault="001F4D6D" w:rsidP="003B13EE">
      <w:pPr>
        <w:spacing w:after="0" w:line="360" w:lineRule="auto"/>
        <w:ind w:firstLine="340"/>
        <w:jc w:val="both"/>
        <w:rPr>
          <w:rFonts w:ascii="Times New Roman" w:hAnsi="Times New Roman" w:cs="Times New Roman"/>
          <w:lang w:val="en-GB"/>
        </w:rPr>
      </w:pPr>
      <w:r w:rsidRPr="003B13EE">
        <w:rPr>
          <w:rFonts w:ascii="Times New Roman" w:hAnsi="Times New Roman" w:cs="Times New Roman"/>
          <w:lang w:val="en-GB"/>
        </w:rPr>
        <w:t>This calls for spatially and temporally resolved diagnostics that link discharge physics, reactive species production, transport and gas–liquid transfer. We present a multi-diagnostic framework for custom-made atmospheric-pressure dielectric barrier discharge (DBD) reactors operating in ambient air for agricultural applications.</w:t>
      </w:r>
    </w:p>
    <w:p w14:paraId="60B779C7" w14:textId="245F1AFB" w:rsidR="001F4D6D" w:rsidRPr="003B13EE" w:rsidRDefault="004B2AEC" w:rsidP="003B13EE">
      <w:pPr>
        <w:spacing w:after="0" w:line="360" w:lineRule="auto"/>
        <w:ind w:firstLine="340"/>
        <w:jc w:val="both"/>
        <w:rPr>
          <w:rFonts w:ascii="Times New Roman" w:hAnsi="Times New Roman" w:cs="Times New Roman"/>
          <w:lang w:val="en-GB"/>
        </w:rPr>
      </w:pPr>
      <w:r w:rsidRPr="003B13EE">
        <w:rPr>
          <w:rFonts w:ascii="Times New Roman" w:hAnsi="Times New Roman" w:cs="Times New Roman"/>
          <w:lang w:val="en-GB"/>
        </w:rPr>
        <w:t>Optical Emission Spectroscopy (OES) monitored discharge dynamics. The</w:t>
      </w:r>
      <w:r w:rsidR="003B13EE">
        <w:rPr>
          <w:rFonts w:ascii="Times New Roman" w:hAnsi="Times New Roman" w:cs="Times New Roman"/>
          <w:lang w:val="en-GB"/>
        </w:rPr>
        <w:t xml:space="preserve"> N</w:t>
      </w:r>
      <w:r w:rsidR="003B13EE">
        <w:rPr>
          <w:rFonts w:ascii="Times New Roman" w:hAnsi="Times New Roman" w:cs="Times New Roman"/>
          <w:vertAlign w:val="subscript"/>
          <w:lang w:val="en-GB"/>
        </w:rPr>
        <w:t>2</w:t>
      </w:r>
      <w:r w:rsidRPr="003B13EE">
        <w:rPr>
          <w:rFonts w:ascii="Times New Roman" w:hAnsi="Times New Roman" w:cs="Times New Roman"/>
          <w:lang w:val="en-GB"/>
        </w:rPr>
        <w:t xml:space="preserve"> </w:t>
      </w:r>
      <w:r w:rsidR="003B13EE">
        <w:rPr>
          <w:rFonts w:ascii="Times New Roman" w:hAnsi="Times New Roman" w:cs="Times New Roman"/>
          <w:lang w:val="en-GB"/>
        </w:rPr>
        <w:t>FNS</w:t>
      </w:r>
      <w:r w:rsidRPr="003B13EE">
        <w:rPr>
          <w:rFonts w:ascii="Times New Roman" w:hAnsi="Times New Roman" w:cs="Times New Roman"/>
          <w:lang w:val="en-GB"/>
        </w:rPr>
        <w:t>/</w:t>
      </w:r>
      <w:r w:rsidR="003B13EE">
        <w:rPr>
          <w:rFonts w:ascii="Times New Roman" w:hAnsi="Times New Roman" w:cs="Times New Roman"/>
          <w:lang w:val="en-GB"/>
        </w:rPr>
        <w:t>S</w:t>
      </w:r>
      <w:r w:rsidRPr="003B13EE">
        <w:rPr>
          <w:rFonts w:ascii="Times New Roman" w:hAnsi="Times New Roman" w:cs="Times New Roman"/>
          <w:lang w:val="en-GB"/>
        </w:rPr>
        <w:t>PS intensity ratio served as an indicator of the reduced electric field E/N, correlating operating conditions with RONS production regimes.</w:t>
      </w:r>
      <w:r w:rsidR="003B13EE">
        <w:rPr>
          <w:rFonts w:ascii="Times New Roman" w:hAnsi="Times New Roman" w:cs="Times New Roman"/>
          <w:lang w:val="en-GB"/>
        </w:rPr>
        <w:t xml:space="preserve"> </w:t>
      </w:r>
      <w:r w:rsidR="001F4D6D" w:rsidRPr="003B13EE">
        <w:rPr>
          <w:rFonts w:ascii="Times New Roman" w:hAnsi="Times New Roman" w:cs="Times New Roman"/>
          <w:lang w:val="en-GB"/>
        </w:rPr>
        <w:t>Electric Field Induced Second Harmonic generation (EFISH) provided non-intrusive, time- and space-resolved measurement of the electric field in the active plasma region, giving an independent validation of the E/N trends inferred from OES and linking discharge electrical properties to reactive species generation.</w:t>
      </w:r>
    </w:p>
    <w:p w14:paraId="6EAD6A1F" w14:textId="0CAD751D" w:rsidR="00B650B9" w:rsidRPr="003B13EE" w:rsidRDefault="001F4D6D" w:rsidP="003B13EE">
      <w:pPr>
        <w:spacing w:after="0" w:line="360" w:lineRule="auto"/>
        <w:ind w:firstLine="340"/>
        <w:jc w:val="both"/>
        <w:rPr>
          <w:rFonts w:ascii="Times New Roman" w:hAnsi="Times New Roman" w:cs="Times New Roman"/>
          <w:lang w:val="en-GB"/>
        </w:rPr>
      </w:pPr>
      <w:r w:rsidRPr="003B13EE">
        <w:rPr>
          <w:rFonts w:ascii="Times New Roman" w:hAnsi="Times New Roman" w:cs="Times New Roman"/>
          <w:lang w:val="en-GB"/>
        </w:rPr>
        <w:t xml:space="preserve">Laser-Induced Fluorescence tracked NO and OH. </w:t>
      </w:r>
      <w:r w:rsidR="003B13EE" w:rsidRPr="003B13EE">
        <w:rPr>
          <w:rFonts w:ascii="Times New Roman" w:hAnsi="Times New Roman" w:cs="Times New Roman"/>
          <w:lang w:val="en-GB"/>
        </w:rPr>
        <w:t xml:space="preserve">The rapid decay of OH marks the active plasma region. </w:t>
      </w:r>
      <w:proofErr w:type="gramStart"/>
      <w:r w:rsidRPr="003B13EE">
        <w:rPr>
          <w:rFonts w:ascii="Times New Roman" w:hAnsi="Times New Roman" w:cs="Times New Roman"/>
          <w:lang w:val="en-GB"/>
        </w:rPr>
        <w:t>Absolute</w:t>
      </w:r>
      <w:proofErr w:type="gramEnd"/>
      <w:r w:rsidRPr="003B13EE">
        <w:rPr>
          <w:rFonts w:ascii="Times New Roman" w:hAnsi="Times New Roman" w:cs="Times New Roman"/>
          <w:lang w:val="en-GB"/>
        </w:rPr>
        <w:t xml:space="preserve"> NO concentrations were obtained, and the spatial profiles reveal the balance between production, transport and loss.</w:t>
      </w:r>
      <w:r w:rsidR="00FA1B99">
        <w:rPr>
          <w:rFonts w:ascii="Times New Roman" w:hAnsi="Times New Roman" w:cs="Times New Roman"/>
          <w:lang w:val="en-GB"/>
        </w:rPr>
        <w:t xml:space="preserve"> </w:t>
      </w:r>
      <w:r w:rsidRPr="003B13EE">
        <w:rPr>
          <w:rFonts w:ascii="Times New Roman" w:hAnsi="Times New Roman" w:cs="Times New Roman"/>
          <w:lang w:val="en-GB"/>
        </w:rPr>
        <w:t xml:space="preserve">Raman spectroscopy was assessed as a label-free, multi-species diagnostic for NO₃⁻, NO₂⁻ and H₂O₂, the key RONS in PAW. Colorimetric assays validated the Raman results, showing monotonic increases of all species with treatment time and concurrent </w:t>
      </w:r>
      <w:r w:rsidR="003B13EE">
        <w:rPr>
          <w:rFonts w:ascii="Times New Roman" w:hAnsi="Times New Roman" w:cs="Times New Roman"/>
          <w:lang w:val="en-GB"/>
        </w:rPr>
        <w:t>acidification</w:t>
      </w:r>
      <w:r w:rsidRPr="003B13EE">
        <w:rPr>
          <w:rFonts w:ascii="Times New Roman" w:hAnsi="Times New Roman" w:cs="Times New Roman"/>
          <w:lang w:val="en-GB"/>
        </w:rPr>
        <w:t xml:space="preserve">. </w:t>
      </w:r>
      <w:r w:rsidR="00B151A7" w:rsidRPr="003B13EE">
        <w:rPr>
          <w:rFonts w:ascii="Times New Roman" w:hAnsi="Times New Roman" w:cs="Times New Roman"/>
          <w:lang w:val="en-GB"/>
        </w:rPr>
        <w:t>FT-IR spectroscopy provided complementary gas-phase analysis, confirming nitrogen oxides and other long-lived species in the afterglow and effluent gases.</w:t>
      </w:r>
    </w:p>
    <w:p w14:paraId="11EB8AC6" w14:textId="2FDD4789" w:rsidR="00E44DCA" w:rsidRPr="003B13EE" w:rsidRDefault="00E44DCA" w:rsidP="003B13EE">
      <w:pPr>
        <w:spacing w:after="0" w:line="360" w:lineRule="auto"/>
        <w:ind w:firstLine="340"/>
        <w:jc w:val="both"/>
        <w:rPr>
          <w:rFonts w:ascii="Times New Roman" w:hAnsi="Times New Roman" w:cs="Times New Roman"/>
          <w:lang w:val="en-GB"/>
        </w:rPr>
      </w:pPr>
      <w:r w:rsidRPr="003B13EE">
        <w:rPr>
          <w:rFonts w:ascii="Times New Roman" w:hAnsi="Times New Roman" w:cs="Times New Roman"/>
          <w:lang w:val="en-GB"/>
        </w:rPr>
        <w:t>Together, these diagnostics connect discharge physics to application-relevant chemistry and provide a basis for reactor optimization, scale-up and predictive control of plasma treatments.</w:t>
      </w:r>
    </w:p>
    <w:p w14:paraId="7F60A235" w14:textId="77777777" w:rsidR="00B650B9" w:rsidRPr="003B13EE" w:rsidRDefault="00B650B9" w:rsidP="003B13E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3B13EE">
        <w:rPr>
          <w:rFonts w:ascii="Times New Roman" w:hAnsi="Times New Roman" w:cs="Times New Roman"/>
          <w:b/>
          <w:bCs/>
          <w:lang w:val="en-GB"/>
        </w:rPr>
        <w:t>References</w:t>
      </w:r>
    </w:p>
    <w:p w14:paraId="393BCEAE" w14:textId="104A93B4" w:rsidR="00B650B9" w:rsidRPr="003B13EE" w:rsidRDefault="00B650B9" w:rsidP="003B13EE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3B13EE">
        <w:rPr>
          <w:rFonts w:ascii="Times New Roman" w:hAnsi="Times New Roman" w:cs="Times New Roman"/>
          <w:sz w:val="22"/>
          <w:szCs w:val="22"/>
          <w:lang w:val="en-GB"/>
        </w:rPr>
        <w:t xml:space="preserve">[1] Aceto D. et al., 2024, Front. Phys. 12, </w:t>
      </w:r>
      <w:proofErr w:type="gramStart"/>
      <w:r w:rsidRPr="003B13EE">
        <w:rPr>
          <w:rFonts w:ascii="Times New Roman" w:hAnsi="Times New Roman" w:cs="Times New Roman"/>
          <w:sz w:val="22"/>
          <w:szCs w:val="22"/>
          <w:lang w:val="en-GB"/>
        </w:rPr>
        <w:t>1455481;</w:t>
      </w:r>
      <w:proofErr w:type="gramEnd"/>
    </w:p>
    <w:p w14:paraId="4674B3C4" w14:textId="64F43DA2" w:rsidR="00B650B9" w:rsidRPr="003B13EE" w:rsidRDefault="00B650B9" w:rsidP="003B13EE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3B13EE">
        <w:rPr>
          <w:rFonts w:ascii="Times New Roman" w:hAnsi="Times New Roman" w:cs="Times New Roman"/>
          <w:sz w:val="22"/>
          <w:szCs w:val="22"/>
          <w:lang w:val="en-GB"/>
        </w:rPr>
        <w:t xml:space="preserve">[2] </w:t>
      </w:r>
      <w:proofErr w:type="spellStart"/>
      <w:r w:rsidRPr="003B13EE">
        <w:rPr>
          <w:rFonts w:ascii="Times New Roman" w:hAnsi="Times New Roman" w:cs="Times New Roman"/>
          <w:sz w:val="22"/>
          <w:szCs w:val="22"/>
          <w:lang w:val="en-GB"/>
        </w:rPr>
        <w:t>Ambrico</w:t>
      </w:r>
      <w:proofErr w:type="spellEnd"/>
      <w:r w:rsidRPr="003B13EE">
        <w:rPr>
          <w:rFonts w:ascii="Times New Roman" w:hAnsi="Times New Roman" w:cs="Times New Roman"/>
          <w:sz w:val="22"/>
          <w:szCs w:val="22"/>
          <w:lang w:val="en-GB"/>
        </w:rPr>
        <w:t xml:space="preserve"> P.F. et al., 2017, J. Phys. D 50, </w:t>
      </w:r>
      <w:proofErr w:type="gramStart"/>
      <w:r w:rsidRPr="003B13EE">
        <w:rPr>
          <w:rFonts w:ascii="Times New Roman" w:hAnsi="Times New Roman" w:cs="Times New Roman"/>
          <w:sz w:val="22"/>
          <w:szCs w:val="22"/>
          <w:lang w:val="en-GB"/>
        </w:rPr>
        <w:t>305401;</w:t>
      </w:r>
      <w:proofErr w:type="gramEnd"/>
    </w:p>
    <w:p w14:paraId="062135C8" w14:textId="160AD09E" w:rsidR="00B650B9" w:rsidRPr="003B13EE" w:rsidRDefault="00B650B9" w:rsidP="003B13EE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3B13EE">
        <w:rPr>
          <w:rFonts w:ascii="Times New Roman" w:hAnsi="Times New Roman" w:cs="Times New Roman"/>
          <w:sz w:val="22"/>
          <w:szCs w:val="22"/>
          <w:lang w:val="en-GB"/>
        </w:rPr>
        <w:t xml:space="preserve">[3] Aceto D. et al., 2024, Front. Phys. 12, </w:t>
      </w:r>
      <w:proofErr w:type="gramStart"/>
      <w:r w:rsidRPr="003B13EE">
        <w:rPr>
          <w:rFonts w:ascii="Times New Roman" w:hAnsi="Times New Roman" w:cs="Times New Roman"/>
          <w:sz w:val="22"/>
          <w:szCs w:val="22"/>
          <w:lang w:val="en-GB"/>
        </w:rPr>
        <w:t>1399910;</w:t>
      </w:r>
      <w:proofErr w:type="gramEnd"/>
    </w:p>
    <w:p w14:paraId="4318E963" w14:textId="5884699B" w:rsidR="00B650B9" w:rsidRPr="003B13EE" w:rsidRDefault="00B650B9" w:rsidP="003B13EE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3B13EE">
        <w:rPr>
          <w:rFonts w:ascii="Times New Roman" w:hAnsi="Times New Roman" w:cs="Times New Roman"/>
          <w:sz w:val="22"/>
          <w:szCs w:val="22"/>
        </w:rPr>
        <w:t xml:space="preserve">[4] Rotondo P.R. et al., 2025, Sci. </w:t>
      </w:r>
      <w:r w:rsidRPr="003B13EE">
        <w:rPr>
          <w:rFonts w:ascii="Times New Roman" w:hAnsi="Times New Roman" w:cs="Times New Roman"/>
          <w:sz w:val="22"/>
          <w:szCs w:val="22"/>
          <w:lang w:val="en-GB"/>
        </w:rPr>
        <w:t xml:space="preserve">Rep. 15, </w:t>
      </w:r>
      <w:proofErr w:type="gramStart"/>
      <w:r w:rsidRPr="003B13EE">
        <w:rPr>
          <w:rFonts w:ascii="Times New Roman" w:hAnsi="Times New Roman" w:cs="Times New Roman"/>
          <w:sz w:val="22"/>
          <w:szCs w:val="22"/>
          <w:lang w:val="en-GB"/>
        </w:rPr>
        <w:t>5536;</w:t>
      </w:r>
      <w:proofErr w:type="gramEnd"/>
    </w:p>
    <w:p w14:paraId="131C4A39" w14:textId="6B78CEC6" w:rsidR="00B650B9" w:rsidRPr="003B13EE" w:rsidRDefault="00B650B9" w:rsidP="003B13EE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3B13EE">
        <w:rPr>
          <w:rFonts w:ascii="Times New Roman" w:hAnsi="Times New Roman" w:cs="Times New Roman"/>
          <w:sz w:val="22"/>
          <w:szCs w:val="22"/>
          <w:lang w:val="en-GB"/>
        </w:rPr>
        <w:t xml:space="preserve">[5] Aceto D. et al., 2025, Chem. Biol. Technol. Agric. 12, </w:t>
      </w:r>
      <w:proofErr w:type="gramStart"/>
      <w:r w:rsidRPr="003B13EE">
        <w:rPr>
          <w:rFonts w:ascii="Times New Roman" w:hAnsi="Times New Roman" w:cs="Times New Roman"/>
          <w:sz w:val="22"/>
          <w:szCs w:val="22"/>
          <w:lang w:val="en-GB"/>
        </w:rPr>
        <w:t>151;</w:t>
      </w:r>
      <w:proofErr w:type="gramEnd"/>
    </w:p>
    <w:p w14:paraId="58CFFCE8" w14:textId="02AC21B0" w:rsidR="001F4D6D" w:rsidRPr="003B13EE" w:rsidRDefault="00E02E34" w:rsidP="003B13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3B13EE">
        <w:rPr>
          <w:rFonts w:ascii="Times New Roman" w:hAnsi="Times New Roman" w:cs="Times New Roman"/>
          <w:sz w:val="22"/>
          <w:szCs w:val="22"/>
          <w:lang w:val="en-GB"/>
        </w:rPr>
        <w:t xml:space="preserve">[6] </w:t>
      </w:r>
      <w:proofErr w:type="spellStart"/>
      <w:r w:rsidRPr="003B13EE">
        <w:rPr>
          <w:rFonts w:ascii="Times New Roman" w:hAnsi="Times New Roman" w:cs="Times New Roman"/>
          <w:sz w:val="22"/>
          <w:szCs w:val="22"/>
          <w:lang w:val="en-GB"/>
        </w:rPr>
        <w:t>Thirumdas</w:t>
      </w:r>
      <w:proofErr w:type="spellEnd"/>
      <w:r w:rsidRPr="003B13EE">
        <w:rPr>
          <w:rFonts w:ascii="Times New Roman" w:hAnsi="Times New Roman" w:cs="Times New Roman"/>
          <w:sz w:val="22"/>
          <w:szCs w:val="22"/>
          <w:lang w:val="en-GB"/>
        </w:rPr>
        <w:t xml:space="preserve"> R. et al., 2018, Trends in Food Science &amp; Technology 77, 21-31.</w:t>
      </w:r>
    </w:p>
    <w:sectPr w:rsidR="001F4D6D" w:rsidRPr="003B13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D6D"/>
    <w:rsid w:val="00141C86"/>
    <w:rsid w:val="001B67FE"/>
    <w:rsid w:val="001D6086"/>
    <w:rsid w:val="001F4D6D"/>
    <w:rsid w:val="002D2228"/>
    <w:rsid w:val="0034480B"/>
    <w:rsid w:val="003B07F8"/>
    <w:rsid w:val="003B13EE"/>
    <w:rsid w:val="003F6A36"/>
    <w:rsid w:val="004B2AEC"/>
    <w:rsid w:val="005C7DC5"/>
    <w:rsid w:val="005E2380"/>
    <w:rsid w:val="00610C40"/>
    <w:rsid w:val="00653FCA"/>
    <w:rsid w:val="006B6694"/>
    <w:rsid w:val="00774ED6"/>
    <w:rsid w:val="00796C52"/>
    <w:rsid w:val="00815DFB"/>
    <w:rsid w:val="00837302"/>
    <w:rsid w:val="008A4370"/>
    <w:rsid w:val="008B709C"/>
    <w:rsid w:val="00926EB4"/>
    <w:rsid w:val="009579BB"/>
    <w:rsid w:val="0097568D"/>
    <w:rsid w:val="009D5667"/>
    <w:rsid w:val="00B151A7"/>
    <w:rsid w:val="00B37D88"/>
    <w:rsid w:val="00B5567F"/>
    <w:rsid w:val="00B650B9"/>
    <w:rsid w:val="00BC6DE9"/>
    <w:rsid w:val="00BE0A97"/>
    <w:rsid w:val="00BE48EE"/>
    <w:rsid w:val="00BF6D27"/>
    <w:rsid w:val="00CE520B"/>
    <w:rsid w:val="00D073AE"/>
    <w:rsid w:val="00D306F3"/>
    <w:rsid w:val="00D366C9"/>
    <w:rsid w:val="00DF486B"/>
    <w:rsid w:val="00E02E34"/>
    <w:rsid w:val="00E10CB0"/>
    <w:rsid w:val="00E44DCA"/>
    <w:rsid w:val="00F74893"/>
    <w:rsid w:val="00F90C72"/>
    <w:rsid w:val="00FA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8A676"/>
  <w15:chartTrackingRefBased/>
  <w15:docId w15:val="{26DED85F-A1E9-4190-B8A1-10153CFB1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F4D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F4D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F4D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F4D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F4D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F4D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F4D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F4D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F4D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F4D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F4D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F4D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F4D6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F4D6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F4D6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F4D6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F4D6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F4D6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F4D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F4D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F4D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F4D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F4D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F4D6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F4D6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F4D6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F4D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F4D6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F4D6D"/>
    <w:rPr>
      <w:b/>
      <w:bCs/>
      <w:smallCaps/>
      <w:color w:val="0F4761" w:themeColor="accent1" w:themeShade="BF"/>
      <w:spacing w:val="5"/>
    </w:rPr>
  </w:style>
  <w:style w:type="paragraph" w:customStyle="1" w:styleId="Textbody">
    <w:name w:val="Text body"/>
    <w:basedOn w:val="Normale"/>
    <w:rsid w:val="00B37D88"/>
    <w:pPr>
      <w:suppressAutoHyphens/>
      <w:autoSpaceDN w:val="0"/>
      <w:spacing w:after="120" w:line="276" w:lineRule="auto"/>
      <w:jc w:val="both"/>
      <w:textAlignment w:val="baseline"/>
    </w:pPr>
    <w:rPr>
      <w:rFonts w:ascii="Calibri" w:eastAsia="Calibri" w:hAnsi="Calibri" w:cs="Times New Roman"/>
      <w:kern w:val="3"/>
      <w:sz w:val="22"/>
      <w:szCs w:val="22"/>
      <w:lang w:val="en-US" w:eastAsia="zh-CN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2D2228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D22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4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DOMENICO ACETO</dc:creator>
  <cp:keywords/>
  <dc:description/>
  <cp:lastModifiedBy>DOMENICO ACETO</cp:lastModifiedBy>
  <cp:revision>22</cp:revision>
  <dcterms:created xsi:type="dcterms:W3CDTF">2026-04-09T10:38:00Z</dcterms:created>
  <dcterms:modified xsi:type="dcterms:W3CDTF">2026-07-18T22:47:00Z</dcterms:modified>
</cp:coreProperties>
</file>