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246B75" w14:textId="77777777" w:rsidR="003E7B96" w:rsidRDefault="003E7B96" w:rsidP="003E7B96">
      <w:pPr>
        <w:pStyle w:val="NormalWeb"/>
        <w:rPr>
          <w:rStyle w:val="Strong"/>
          <w:sz w:val="28"/>
          <w:szCs w:val="28"/>
        </w:rPr>
      </w:pPr>
      <w:r w:rsidRPr="00D15F63">
        <w:rPr>
          <w:rStyle w:val="Strong"/>
          <w:sz w:val="28"/>
          <w:szCs w:val="28"/>
        </w:rPr>
        <w:t>Beyond Absorption: New Detector Concepts for Spectral, Phase-Contrast, and Time-Resolved X-ray Imaging</w:t>
      </w:r>
    </w:p>
    <w:p w14:paraId="0932CED2" w14:textId="5A2673E9" w:rsidR="00D15F63" w:rsidRDefault="00D15F63" w:rsidP="00D15F63">
      <w:pPr>
        <w:pStyle w:val="NormalWeb"/>
        <w:spacing w:before="0" w:beforeAutospacing="0" w:after="0" w:afterAutospacing="0" w:line="360" w:lineRule="auto"/>
        <w:jc w:val="center"/>
        <w:rPr>
          <w:rStyle w:val="Strong"/>
          <w:b w:val="0"/>
          <w:bCs w:val="0"/>
          <w:vertAlign w:val="superscript"/>
        </w:rPr>
      </w:pPr>
      <w:r>
        <w:rPr>
          <w:rStyle w:val="Strong"/>
          <w:b w:val="0"/>
          <w:bCs w:val="0"/>
        </w:rPr>
        <w:t>R.H.</w:t>
      </w:r>
      <w:r w:rsidRPr="00D15F63">
        <w:rPr>
          <w:rStyle w:val="Strong"/>
          <w:b w:val="0"/>
          <w:bCs w:val="0"/>
        </w:rPr>
        <w:t xml:space="preserve"> Menk</w:t>
      </w:r>
      <w:r>
        <w:rPr>
          <w:rStyle w:val="Strong"/>
          <w:b w:val="0"/>
          <w:bCs w:val="0"/>
          <w:vertAlign w:val="superscript"/>
        </w:rPr>
        <w:t>1,2,3</w:t>
      </w:r>
    </w:p>
    <w:p w14:paraId="3ECCAA5A" w14:textId="62792BBA" w:rsidR="00D15F63" w:rsidRPr="00D15F63" w:rsidRDefault="00D15F63" w:rsidP="00D15F63">
      <w:pPr>
        <w:pStyle w:val="NormalWeb"/>
        <w:spacing w:before="0" w:beforeAutospacing="0" w:after="0" w:afterAutospacing="0"/>
        <w:jc w:val="center"/>
        <w:rPr>
          <w:i/>
          <w:iCs/>
          <w:sz w:val="22"/>
          <w:szCs w:val="22"/>
          <w:lang w:val="it-IT"/>
        </w:rPr>
      </w:pPr>
      <w:r w:rsidRPr="00D15F63">
        <w:rPr>
          <w:i/>
          <w:iCs/>
          <w:sz w:val="22"/>
          <w:szCs w:val="22"/>
          <w:vertAlign w:val="superscript"/>
          <w:lang w:val="it-IT"/>
        </w:rPr>
        <w:t>1.</w:t>
      </w:r>
      <w:r w:rsidRPr="00D15F63">
        <w:rPr>
          <w:i/>
          <w:iCs/>
          <w:sz w:val="22"/>
          <w:szCs w:val="22"/>
          <w:lang w:val="it-IT"/>
        </w:rPr>
        <w:t>Elettra Sincrotrone Trieste,</w:t>
      </w:r>
      <w:r w:rsidR="006139AF">
        <w:rPr>
          <w:i/>
          <w:iCs/>
          <w:sz w:val="22"/>
          <w:szCs w:val="22"/>
          <w:lang w:val="it-IT"/>
        </w:rPr>
        <w:t xml:space="preserve"> SS14, km 163.5, 34149 Trieste,</w:t>
      </w:r>
      <w:r w:rsidRPr="00D15F63">
        <w:rPr>
          <w:i/>
          <w:iCs/>
          <w:sz w:val="22"/>
          <w:szCs w:val="22"/>
          <w:lang w:val="it-IT"/>
        </w:rPr>
        <w:t xml:space="preserve"> Italy</w:t>
      </w:r>
    </w:p>
    <w:p w14:paraId="4CB015E9" w14:textId="0385DBEC" w:rsidR="00D15F63" w:rsidRPr="00D15F63" w:rsidRDefault="00D15F63" w:rsidP="00D15F63">
      <w:pPr>
        <w:pStyle w:val="NormalWeb"/>
        <w:spacing w:before="0" w:beforeAutospacing="0" w:after="0" w:afterAutospacing="0"/>
        <w:jc w:val="center"/>
        <w:rPr>
          <w:i/>
          <w:iCs/>
          <w:sz w:val="22"/>
          <w:szCs w:val="22"/>
          <w:lang w:val="it-IT"/>
        </w:rPr>
      </w:pPr>
      <w:r w:rsidRPr="00D15F63">
        <w:rPr>
          <w:i/>
          <w:iCs/>
          <w:sz w:val="22"/>
          <w:szCs w:val="22"/>
          <w:vertAlign w:val="superscript"/>
          <w:lang w:val="it-IT"/>
        </w:rPr>
        <w:t>2.</w:t>
      </w:r>
      <w:r w:rsidRPr="00D15F63">
        <w:rPr>
          <w:i/>
          <w:iCs/>
          <w:sz w:val="22"/>
          <w:szCs w:val="22"/>
          <w:lang w:val="it-IT"/>
        </w:rPr>
        <w:t>Istituto Nazionale di Fisica Nucleare Trieste,</w:t>
      </w:r>
      <w:r w:rsidR="006139AF">
        <w:rPr>
          <w:i/>
          <w:iCs/>
          <w:sz w:val="22"/>
          <w:szCs w:val="22"/>
          <w:lang w:val="it-IT"/>
        </w:rPr>
        <w:t xml:space="preserve"> </w:t>
      </w:r>
      <w:r w:rsidR="006139AF" w:rsidRPr="006139AF">
        <w:rPr>
          <w:i/>
          <w:iCs/>
          <w:sz w:val="22"/>
          <w:szCs w:val="22"/>
          <w:lang w:val="it-IT"/>
        </w:rPr>
        <w:t>Via Alfonso Valerio 2, I-34127 Trieste, Italy</w:t>
      </w:r>
    </w:p>
    <w:p w14:paraId="0D3ABD5B" w14:textId="1A4575F8" w:rsidR="00D15F63" w:rsidRDefault="00D15F63" w:rsidP="00D15F63">
      <w:pPr>
        <w:pStyle w:val="NormalWeb"/>
        <w:spacing w:before="0" w:beforeAutospacing="0" w:after="0" w:afterAutospacing="0"/>
        <w:jc w:val="center"/>
        <w:rPr>
          <w:i/>
          <w:iCs/>
          <w:sz w:val="22"/>
          <w:szCs w:val="22"/>
        </w:rPr>
      </w:pPr>
      <w:r w:rsidRPr="00D15F63">
        <w:rPr>
          <w:i/>
          <w:iCs/>
          <w:sz w:val="22"/>
          <w:szCs w:val="22"/>
          <w:vertAlign w:val="superscript"/>
        </w:rPr>
        <w:t>3.</w:t>
      </w:r>
      <w:r w:rsidRPr="00D15F63">
        <w:rPr>
          <w:i/>
          <w:iCs/>
          <w:sz w:val="22"/>
          <w:szCs w:val="22"/>
        </w:rPr>
        <w:t>Department of Computer and Electrical Engineering, Mid Sweden University, Sundsvall, Sweden</w:t>
      </w:r>
    </w:p>
    <w:p w14:paraId="453B2BA8" w14:textId="0AB91DD4" w:rsidR="00D15F63" w:rsidRPr="00D15F63" w:rsidRDefault="00D15F63" w:rsidP="00D15F63">
      <w:pPr>
        <w:pStyle w:val="NormalWeb"/>
        <w:spacing w:before="0" w:beforeAutospacing="0" w:after="0" w:afterAutospacing="0"/>
        <w:jc w:val="center"/>
      </w:pPr>
      <w:r>
        <w:rPr>
          <w:i/>
          <w:iCs/>
          <w:sz w:val="22"/>
          <w:szCs w:val="22"/>
        </w:rPr>
        <w:tab/>
      </w:r>
      <w:r w:rsidRPr="00D15F63">
        <w:rPr>
          <w:sz w:val="22"/>
          <w:szCs w:val="22"/>
        </w:rPr>
        <w:t xml:space="preserve">Corresponding author: </w:t>
      </w:r>
      <w:r>
        <w:rPr>
          <w:sz w:val="22"/>
          <w:szCs w:val="22"/>
        </w:rPr>
        <w:t>ralf.menk@elettra.eu</w:t>
      </w:r>
    </w:p>
    <w:p w14:paraId="6D486A50" w14:textId="77777777" w:rsidR="00F85B6F" w:rsidRDefault="00F85B6F" w:rsidP="00F85B6F">
      <w:pPr>
        <w:pStyle w:val="NormalWeb"/>
        <w:spacing w:before="0" w:beforeAutospacing="0" w:after="0" w:afterAutospacing="0"/>
        <w:jc w:val="both"/>
      </w:pPr>
    </w:p>
    <w:p w14:paraId="003B312A" w14:textId="3A65C522" w:rsidR="003E7B96" w:rsidRDefault="003E7B96" w:rsidP="00AE0ADA">
      <w:pPr>
        <w:pStyle w:val="NormalWeb"/>
        <w:spacing w:before="0" w:beforeAutospacing="0" w:after="0" w:afterAutospacing="0" w:line="360" w:lineRule="auto"/>
        <w:ind w:left="90" w:firstLine="720"/>
        <w:jc w:val="both"/>
      </w:pPr>
      <w:r>
        <w:t xml:space="preserve">For more than a century, X-ray imaging has been largely synonymous with absorption contrast. Today, however, advances in detector technology are fundamentally changing this paradigm. Modern detectors are evolving from passive image sensors into instruments that determine </w:t>
      </w:r>
      <w:r>
        <w:rPr>
          <w:rStyle w:val="Emphasis"/>
        </w:rPr>
        <w:t>which physical property</w:t>
      </w:r>
      <w:r>
        <w:t xml:space="preserve"> of the X-ray beam is measured. Beyond attenuation, they can now provide access to photon energy, wavefront distortions, small-angle scattering, and ultrafast temporal dynamics, enabling a new generation of multimodal X-ray imaging techniques.</w:t>
      </w:r>
    </w:p>
    <w:p w14:paraId="79D9BA92" w14:textId="5160953F" w:rsidR="003E7B96" w:rsidRDefault="003E7B96" w:rsidP="00AE0ADA">
      <w:pPr>
        <w:pStyle w:val="NormalWeb"/>
        <w:spacing w:before="0" w:beforeAutospacing="0" w:after="0" w:afterAutospacing="0" w:line="360" w:lineRule="auto"/>
        <w:ind w:firstLine="720"/>
        <w:jc w:val="both"/>
      </w:pPr>
      <w:r>
        <w:t>This presentation reviews recent developments in detector concepts that are driving this transformation, including photon-counting and energy-resolving detectors, direct-conversion semiconductor technologies, hybrid pixel detectors, and emerging ultrafast architectures for synchrotron, free-electron laser, and fusion plasma diagnostics</w:t>
      </w:r>
      <w:r w:rsidR="00BF4D6A">
        <w:t xml:space="preserve"> [1-5]</w:t>
      </w:r>
      <w:r>
        <w:t xml:space="preserve">. Their implementation in spectral imaging, </w:t>
      </w:r>
      <w:r w:rsidR="00D15F63">
        <w:t xml:space="preserve">and </w:t>
      </w:r>
      <w:r>
        <w:t>phase-contrast imaging, dark-field imaging, and time-resolved experiments will be illustrated through representative examples. Particular attention will be given to the intimate relationship between detector architecture and the physical information that can be extracted from an experiment.</w:t>
      </w:r>
    </w:p>
    <w:p w14:paraId="30D77A96" w14:textId="77777777" w:rsidR="003E7B96" w:rsidRDefault="003E7B96" w:rsidP="00AE0ADA">
      <w:pPr>
        <w:pStyle w:val="NormalWeb"/>
        <w:spacing w:before="0" w:beforeAutospacing="0" w:after="0" w:afterAutospacing="0" w:line="360" w:lineRule="auto"/>
        <w:ind w:firstLine="720"/>
        <w:jc w:val="both"/>
      </w:pPr>
      <w:r>
        <w:t>A central theme of the talk is that each imaging modality is linked to a distinct physical observable extracted by the detector: absorption measures attenuation, spectral imaging resolves photon energy, phase-contrast reveals wavefront distortions, dark-field imaging quantifies unresolved microstructure through small-angle scattering, and time-resolved detection captures the evolution of dynamic processes on ever shorter timescales. This transition from measuring intensity alone to measuring multiple complementary observables is fundamentally redefining the role of X-ray detectors.</w:t>
      </w:r>
    </w:p>
    <w:p w14:paraId="5586A4FB" w14:textId="77777777" w:rsidR="003E7B96" w:rsidRDefault="003E7B96" w:rsidP="00AE0ADA">
      <w:pPr>
        <w:pStyle w:val="NormalWeb"/>
        <w:spacing w:before="0" w:beforeAutospacing="0" w:after="0" w:afterAutospacing="0" w:line="360" w:lineRule="auto"/>
        <w:ind w:firstLine="720"/>
        <w:jc w:val="both"/>
      </w:pPr>
      <w:r>
        <w:t>As detector technologies continue to evolve, they are no longer simply recording X-ray images—they are becoming scientific instruments capable of simultaneously encoding multiple physical observables from every detected photon. The next revolution in X-ray imaging will therefore be driven not only by brighter sources, but by detector systems that transform every photon into a richer source of quantitative information, paving the way toward truly multimodal X-ray diagnostics across synchrotron science, free-electron lasers, fusion research, medicine, and industry.</w:t>
      </w:r>
    </w:p>
    <w:p w14:paraId="3E752765" w14:textId="7F33F362" w:rsidR="00335159" w:rsidRPr="00F85B6F" w:rsidRDefault="00F85B6F" w:rsidP="00F85B6F">
      <w:pPr>
        <w:spacing w:after="0" w:line="240" w:lineRule="auto"/>
        <w:ind w:left="270" w:hanging="270"/>
        <w:rPr>
          <w:rFonts w:ascii="Times New Roman" w:hAnsi="Times New Roman" w:cs="Times New Roman"/>
          <w:sz w:val="22"/>
          <w:szCs w:val="22"/>
        </w:rPr>
      </w:pPr>
      <w:r>
        <w:rPr>
          <w:rFonts w:ascii="Times New Roman" w:hAnsi="Times New Roman" w:cs="Times New Roman"/>
          <w:sz w:val="22"/>
          <w:szCs w:val="22"/>
        </w:rPr>
        <w:t xml:space="preserve">[1] </w:t>
      </w:r>
      <w:r w:rsidR="00335159" w:rsidRPr="00F85B6F">
        <w:rPr>
          <w:rFonts w:ascii="Times New Roman" w:hAnsi="Times New Roman" w:cs="Times New Roman"/>
          <w:sz w:val="22"/>
          <w:szCs w:val="22"/>
        </w:rPr>
        <w:t xml:space="preserve">M. Åslund, E. Fredenberg, M. Telman, M. Danielsson, Detectors for the future of X-ray imaging, Physics in Medicine &amp; Biology (2021). </w:t>
      </w:r>
    </w:p>
    <w:p w14:paraId="1F165724" w14:textId="262E44D4" w:rsidR="00335159" w:rsidRPr="00F85B6F" w:rsidRDefault="00F85B6F" w:rsidP="00F85B6F">
      <w:pPr>
        <w:spacing w:after="0" w:line="240" w:lineRule="auto"/>
        <w:ind w:left="270" w:hanging="270"/>
        <w:rPr>
          <w:rFonts w:ascii="Times New Roman" w:hAnsi="Times New Roman" w:cs="Times New Roman"/>
          <w:sz w:val="22"/>
          <w:szCs w:val="22"/>
        </w:rPr>
      </w:pPr>
      <w:r>
        <w:rPr>
          <w:rFonts w:ascii="Times New Roman" w:hAnsi="Times New Roman" w:cs="Times New Roman"/>
          <w:sz w:val="22"/>
          <w:szCs w:val="22"/>
        </w:rPr>
        <w:t xml:space="preserve">[2] </w:t>
      </w:r>
      <w:r w:rsidR="00335159" w:rsidRPr="00F85B6F">
        <w:rPr>
          <w:rFonts w:ascii="Times New Roman" w:hAnsi="Times New Roman" w:cs="Times New Roman"/>
          <w:sz w:val="22"/>
          <w:szCs w:val="22"/>
        </w:rPr>
        <w:t xml:space="preserve">K. Taguchi and J. S. Iwanczyk, Vision 20/20: Single photon counting X-ray detectors in medical imaging, Medical Physics, </w:t>
      </w:r>
      <w:r w:rsidR="00335159" w:rsidRPr="00F85B6F">
        <w:rPr>
          <w:rFonts w:ascii="Times New Roman" w:hAnsi="Times New Roman" w:cs="Times New Roman"/>
          <w:b/>
          <w:bCs/>
          <w:sz w:val="22"/>
          <w:szCs w:val="22"/>
        </w:rPr>
        <w:t>40</w:t>
      </w:r>
      <w:r w:rsidR="00335159" w:rsidRPr="00F85B6F">
        <w:rPr>
          <w:rFonts w:ascii="Times New Roman" w:hAnsi="Times New Roman" w:cs="Times New Roman"/>
          <w:sz w:val="22"/>
          <w:szCs w:val="22"/>
        </w:rPr>
        <w:t>, 100901 (2013).</w:t>
      </w:r>
    </w:p>
    <w:p w14:paraId="22E7B105" w14:textId="51EE8D61" w:rsidR="003E7B96" w:rsidRPr="00F85B6F" w:rsidRDefault="00F85B6F" w:rsidP="00F85B6F">
      <w:pPr>
        <w:spacing w:after="0" w:line="240" w:lineRule="auto"/>
        <w:ind w:left="270" w:hanging="270"/>
        <w:rPr>
          <w:rFonts w:ascii="Times New Roman" w:hAnsi="Times New Roman" w:cs="Times New Roman"/>
          <w:sz w:val="22"/>
          <w:szCs w:val="22"/>
        </w:rPr>
      </w:pPr>
      <w:r>
        <w:rPr>
          <w:rFonts w:ascii="Times New Roman" w:hAnsi="Times New Roman" w:cs="Times New Roman"/>
          <w:sz w:val="22"/>
          <w:szCs w:val="22"/>
        </w:rPr>
        <w:lastRenderedPageBreak/>
        <w:t xml:space="preserve">[3] </w:t>
      </w:r>
      <w:r w:rsidR="00335159" w:rsidRPr="00F85B6F">
        <w:rPr>
          <w:rFonts w:ascii="Times New Roman" w:hAnsi="Times New Roman" w:cs="Times New Roman"/>
          <w:sz w:val="22"/>
          <w:szCs w:val="22"/>
        </w:rPr>
        <w:t>E. Fredenberg, Spectral and dual-energy X-ray imaging for medical applications, Physics in Medicine &amp; Biology (2021).</w:t>
      </w:r>
    </w:p>
    <w:p w14:paraId="5C94D5BE" w14:textId="5E309F3F" w:rsidR="00F85B6F" w:rsidRDefault="00F85B6F" w:rsidP="00F85B6F">
      <w:pPr>
        <w:spacing w:after="0" w:line="240" w:lineRule="auto"/>
        <w:ind w:left="270" w:hanging="270"/>
        <w:rPr>
          <w:rFonts w:ascii="Times New Roman" w:hAnsi="Times New Roman" w:cs="Times New Roman"/>
          <w:sz w:val="22"/>
          <w:szCs w:val="22"/>
        </w:rPr>
      </w:pPr>
      <w:r>
        <w:rPr>
          <w:rFonts w:ascii="Times New Roman" w:hAnsi="Times New Roman" w:cs="Times New Roman"/>
          <w:sz w:val="22"/>
          <w:szCs w:val="22"/>
        </w:rPr>
        <w:t xml:space="preserve">[4] </w:t>
      </w:r>
      <w:r w:rsidRPr="00F85B6F">
        <w:rPr>
          <w:rFonts w:ascii="Times New Roman" w:hAnsi="Times New Roman" w:cs="Times New Roman"/>
          <w:sz w:val="22"/>
          <w:szCs w:val="22"/>
        </w:rPr>
        <w:t xml:space="preserve">L. Brombal, F. </w:t>
      </w:r>
      <w:proofErr w:type="spellStart"/>
      <w:r w:rsidRPr="00F85B6F">
        <w:rPr>
          <w:rFonts w:ascii="Times New Roman" w:hAnsi="Times New Roman" w:cs="Times New Roman"/>
          <w:sz w:val="22"/>
          <w:szCs w:val="22"/>
        </w:rPr>
        <w:t>Arfelli</w:t>
      </w:r>
      <w:proofErr w:type="spellEnd"/>
      <w:r w:rsidRPr="00F85B6F">
        <w:rPr>
          <w:rFonts w:ascii="Times New Roman" w:hAnsi="Times New Roman" w:cs="Times New Roman"/>
          <w:sz w:val="22"/>
          <w:szCs w:val="22"/>
        </w:rPr>
        <w:t>, R. H. Menk et al.</w:t>
      </w:r>
      <w:r>
        <w:rPr>
          <w:rFonts w:ascii="Times New Roman" w:hAnsi="Times New Roman" w:cs="Times New Roman"/>
          <w:sz w:val="22"/>
          <w:szCs w:val="22"/>
        </w:rPr>
        <w:t xml:space="preserve">  </w:t>
      </w:r>
      <w:r w:rsidRPr="00F85B6F">
        <w:rPr>
          <w:rFonts w:ascii="Times New Roman" w:hAnsi="Times New Roman" w:cs="Times New Roman"/>
          <w:sz w:val="22"/>
          <w:szCs w:val="22"/>
        </w:rPr>
        <w:t>PEPI Lab: a flexible compact multi-modal setup for X-ray phase-contrast and spectral imaging.</w:t>
      </w:r>
      <w:r>
        <w:rPr>
          <w:rFonts w:ascii="Times New Roman" w:hAnsi="Times New Roman" w:cs="Times New Roman"/>
          <w:sz w:val="22"/>
          <w:szCs w:val="22"/>
        </w:rPr>
        <w:t xml:space="preserve"> </w:t>
      </w:r>
      <w:r w:rsidRPr="00F85B6F">
        <w:rPr>
          <w:rFonts w:ascii="Times New Roman" w:hAnsi="Times New Roman" w:cs="Times New Roman"/>
          <w:sz w:val="22"/>
          <w:szCs w:val="22"/>
        </w:rPr>
        <w:t xml:space="preserve">Scientific Reports </w:t>
      </w:r>
      <w:r w:rsidRPr="00F85B6F">
        <w:rPr>
          <w:rFonts w:ascii="Times New Roman" w:hAnsi="Times New Roman" w:cs="Times New Roman"/>
          <w:b/>
          <w:bCs/>
          <w:sz w:val="22"/>
          <w:szCs w:val="22"/>
        </w:rPr>
        <w:t>13</w:t>
      </w:r>
      <w:r w:rsidRPr="00F85B6F">
        <w:rPr>
          <w:rFonts w:ascii="Times New Roman" w:hAnsi="Times New Roman" w:cs="Times New Roman"/>
          <w:sz w:val="22"/>
          <w:szCs w:val="22"/>
        </w:rPr>
        <w:t>, 4206 (2023).</w:t>
      </w:r>
    </w:p>
    <w:p w14:paraId="795BA4FA" w14:textId="15F88941" w:rsidR="00F85B6F" w:rsidRPr="00F85B6F" w:rsidRDefault="00F85B6F" w:rsidP="00F85B6F">
      <w:pPr>
        <w:spacing w:after="0" w:line="240" w:lineRule="auto"/>
        <w:ind w:left="270" w:hanging="270"/>
        <w:rPr>
          <w:rFonts w:ascii="Times New Roman" w:hAnsi="Times New Roman" w:cs="Times New Roman"/>
          <w:sz w:val="22"/>
          <w:szCs w:val="22"/>
        </w:rPr>
      </w:pPr>
      <w:r>
        <w:rPr>
          <w:rFonts w:ascii="Times New Roman" w:hAnsi="Times New Roman" w:cs="Times New Roman"/>
          <w:sz w:val="22"/>
          <w:szCs w:val="22"/>
        </w:rPr>
        <w:t xml:space="preserve">[5] </w:t>
      </w:r>
      <w:r w:rsidRPr="00F85B6F">
        <w:rPr>
          <w:rFonts w:ascii="Times New Roman" w:hAnsi="Times New Roman" w:cs="Times New Roman"/>
          <w:sz w:val="22"/>
          <w:szCs w:val="22"/>
        </w:rPr>
        <w:t>P. Perion, L. Brombal, R. H. Menk et al.</w:t>
      </w:r>
      <w:r>
        <w:rPr>
          <w:rFonts w:ascii="Times New Roman" w:hAnsi="Times New Roman" w:cs="Times New Roman"/>
          <w:sz w:val="22"/>
          <w:szCs w:val="22"/>
        </w:rPr>
        <w:t xml:space="preserve">, </w:t>
      </w:r>
      <w:r w:rsidRPr="00F85B6F">
        <w:rPr>
          <w:rFonts w:ascii="Times New Roman" w:hAnsi="Times New Roman" w:cs="Times New Roman"/>
          <w:sz w:val="22"/>
          <w:szCs w:val="22"/>
        </w:rPr>
        <w:t>A high sensitivity wide bandwidth spectral system for multiple K-edge imaging.</w:t>
      </w:r>
      <w:r>
        <w:rPr>
          <w:rFonts w:ascii="Times New Roman" w:hAnsi="Times New Roman" w:cs="Times New Roman"/>
          <w:sz w:val="22"/>
          <w:szCs w:val="22"/>
        </w:rPr>
        <w:t xml:space="preserve"> </w:t>
      </w:r>
      <w:r w:rsidRPr="00F85B6F">
        <w:rPr>
          <w:rFonts w:ascii="Times New Roman" w:hAnsi="Times New Roman" w:cs="Times New Roman"/>
          <w:sz w:val="22"/>
          <w:szCs w:val="22"/>
        </w:rPr>
        <w:t xml:space="preserve">Journal of Physics D: Applied Physics </w:t>
      </w:r>
      <w:r w:rsidRPr="00F85B6F">
        <w:rPr>
          <w:rFonts w:ascii="Times New Roman" w:hAnsi="Times New Roman" w:cs="Times New Roman"/>
          <w:b/>
          <w:bCs/>
          <w:sz w:val="22"/>
          <w:szCs w:val="22"/>
        </w:rPr>
        <w:t>57</w:t>
      </w:r>
      <w:r w:rsidRPr="00F85B6F">
        <w:rPr>
          <w:rFonts w:ascii="Times New Roman" w:hAnsi="Times New Roman" w:cs="Times New Roman"/>
          <w:sz w:val="22"/>
          <w:szCs w:val="22"/>
        </w:rPr>
        <w:t>, 355402 (2024).</w:t>
      </w:r>
    </w:p>
    <w:sectPr w:rsidR="00F85B6F" w:rsidRPr="00F85B6F" w:rsidSect="00CF01F8">
      <w:pgSz w:w="12640" w:h="16840"/>
      <w:pgMar w:top="1418"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B96"/>
    <w:rsid w:val="001678FA"/>
    <w:rsid w:val="00335159"/>
    <w:rsid w:val="003E7B96"/>
    <w:rsid w:val="006139AF"/>
    <w:rsid w:val="00AE0ADA"/>
    <w:rsid w:val="00BF4D6A"/>
    <w:rsid w:val="00CF01F8"/>
    <w:rsid w:val="00D15F63"/>
    <w:rsid w:val="00F85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A4E843D"/>
  <w15:chartTrackingRefBased/>
  <w15:docId w15:val="{5DE2BB0C-47F7-4A4E-978A-8163BAEDD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7B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7B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7B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7B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7B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7B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7B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7B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7B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7B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7B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7B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7B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7B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7B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7B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7B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7B96"/>
    <w:rPr>
      <w:rFonts w:eastAsiaTheme="majorEastAsia" w:cstheme="majorBidi"/>
      <w:color w:val="272727" w:themeColor="text1" w:themeTint="D8"/>
    </w:rPr>
  </w:style>
  <w:style w:type="paragraph" w:styleId="Title">
    <w:name w:val="Title"/>
    <w:basedOn w:val="Normal"/>
    <w:next w:val="Normal"/>
    <w:link w:val="TitleChar"/>
    <w:uiPriority w:val="10"/>
    <w:qFormat/>
    <w:rsid w:val="003E7B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7B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7B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7B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7B96"/>
    <w:pPr>
      <w:spacing w:before="160"/>
      <w:jc w:val="center"/>
    </w:pPr>
    <w:rPr>
      <w:i/>
      <w:iCs/>
      <w:color w:val="404040" w:themeColor="text1" w:themeTint="BF"/>
    </w:rPr>
  </w:style>
  <w:style w:type="character" w:customStyle="1" w:styleId="QuoteChar">
    <w:name w:val="Quote Char"/>
    <w:basedOn w:val="DefaultParagraphFont"/>
    <w:link w:val="Quote"/>
    <w:uiPriority w:val="29"/>
    <w:rsid w:val="003E7B96"/>
    <w:rPr>
      <w:i/>
      <w:iCs/>
      <w:color w:val="404040" w:themeColor="text1" w:themeTint="BF"/>
    </w:rPr>
  </w:style>
  <w:style w:type="paragraph" w:styleId="ListParagraph">
    <w:name w:val="List Paragraph"/>
    <w:basedOn w:val="Normal"/>
    <w:uiPriority w:val="34"/>
    <w:qFormat/>
    <w:rsid w:val="003E7B96"/>
    <w:pPr>
      <w:ind w:left="720"/>
      <w:contextualSpacing/>
    </w:pPr>
  </w:style>
  <w:style w:type="character" w:styleId="IntenseEmphasis">
    <w:name w:val="Intense Emphasis"/>
    <w:basedOn w:val="DefaultParagraphFont"/>
    <w:uiPriority w:val="21"/>
    <w:qFormat/>
    <w:rsid w:val="003E7B96"/>
    <w:rPr>
      <w:i/>
      <w:iCs/>
      <w:color w:val="0F4761" w:themeColor="accent1" w:themeShade="BF"/>
    </w:rPr>
  </w:style>
  <w:style w:type="paragraph" w:styleId="IntenseQuote">
    <w:name w:val="Intense Quote"/>
    <w:basedOn w:val="Normal"/>
    <w:next w:val="Normal"/>
    <w:link w:val="IntenseQuoteChar"/>
    <w:uiPriority w:val="30"/>
    <w:qFormat/>
    <w:rsid w:val="003E7B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7B96"/>
    <w:rPr>
      <w:i/>
      <w:iCs/>
      <w:color w:val="0F4761" w:themeColor="accent1" w:themeShade="BF"/>
    </w:rPr>
  </w:style>
  <w:style w:type="character" w:styleId="IntenseReference">
    <w:name w:val="Intense Reference"/>
    <w:basedOn w:val="DefaultParagraphFont"/>
    <w:uiPriority w:val="32"/>
    <w:qFormat/>
    <w:rsid w:val="003E7B96"/>
    <w:rPr>
      <w:b/>
      <w:bCs/>
      <w:smallCaps/>
      <w:color w:val="0F4761" w:themeColor="accent1" w:themeShade="BF"/>
      <w:spacing w:val="5"/>
    </w:rPr>
  </w:style>
  <w:style w:type="paragraph" w:styleId="NormalWeb">
    <w:name w:val="Normal (Web)"/>
    <w:basedOn w:val="Normal"/>
    <w:uiPriority w:val="99"/>
    <w:semiHidden/>
    <w:unhideWhenUsed/>
    <w:rsid w:val="003E7B9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E7B96"/>
    <w:rPr>
      <w:b/>
      <w:bCs/>
    </w:rPr>
  </w:style>
  <w:style w:type="character" w:styleId="Emphasis">
    <w:name w:val="Emphasis"/>
    <w:basedOn w:val="DefaultParagraphFont"/>
    <w:uiPriority w:val="20"/>
    <w:qFormat/>
    <w:rsid w:val="003E7B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531</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Elettra Sincrotrone Trieste</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MENK RALF HENDRIK</dc:creator>
  <cp:keywords/>
  <dc:description/>
  <cp:lastModifiedBy>MENK RALF HENDRIK</cp:lastModifiedBy>
  <cp:revision>8</cp:revision>
  <dcterms:created xsi:type="dcterms:W3CDTF">2026-07-08T07:40:00Z</dcterms:created>
  <dcterms:modified xsi:type="dcterms:W3CDTF">2026-07-08T08:44:00Z</dcterms:modified>
</cp:coreProperties>
</file>