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4E22" w14:textId="77777777" w:rsidR="005B0FB1" w:rsidRDefault="005B0FB1" w:rsidP="005B0FB1">
      <w:pPr>
        <w:jc w:val="center"/>
        <w:rPr>
          <w:sz w:val="34"/>
          <w:szCs w:val="34"/>
        </w:rPr>
      </w:pPr>
      <w:r>
        <w:rPr>
          <w:rFonts w:ascii="Times New Roman" w:hAnsi="Times New Roman"/>
          <w:b/>
          <w:bCs/>
          <w:sz w:val="34"/>
          <w:szCs w:val="34"/>
        </w:rPr>
        <w:t xml:space="preserve">Particle-in-Cell model of </w:t>
      </w:r>
      <w:r w:rsidR="00D87058">
        <w:rPr>
          <w:rFonts w:ascii="Times New Roman" w:hAnsi="Times New Roman"/>
          <w:b/>
          <w:bCs/>
          <w:sz w:val="34"/>
          <w:szCs w:val="34"/>
        </w:rPr>
        <w:t>n</w:t>
      </w:r>
      <w:r>
        <w:rPr>
          <w:rFonts w:ascii="Times New Roman" w:hAnsi="Times New Roman"/>
          <w:b/>
          <w:bCs/>
          <w:sz w:val="34"/>
          <w:szCs w:val="34"/>
        </w:rPr>
        <w:t>anosecond point-to-plane high-pressure discharge</w:t>
      </w:r>
    </w:p>
    <w:p w14:paraId="6CD9512E" w14:textId="77777777" w:rsidR="005B0FB1" w:rsidRDefault="005B0FB1" w:rsidP="005B0FB1">
      <w:pPr>
        <w:jc w:val="center"/>
        <w:rPr>
          <w:rFonts w:ascii="Times New Roman" w:hAnsi="Times New Roman"/>
        </w:rPr>
      </w:pPr>
    </w:p>
    <w:p w14:paraId="680C4207" w14:textId="77777777" w:rsidR="005B0FB1" w:rsidRPr="00C731C0" w:rsidRDefault="005B0FB1" w:rsidP="005B0FB1">
      <w:pPr>
        <w:jc w:val="center"/>
        <w:rPr>
          <w:rFonts w:ascii="Times New Roman" w:hAnsi="Times New Roman"/>
          <w:sz w:val="22"/>
          <w:szCs w:val="22"/>
          <w:lang w:val="it-IT"/>
        </w:rPr>
      </w:pPr>
      <w:r w:rsidRPr="001E7D01">
        <w:rPr>
          <w:rFonts w:ascii="Times New Roman" w:hAnsi="Times New Roman"/>
          <w:lang w:val="it-IT"/>
        </w:rPr>
        <w:t>F. Taccogna</w:t>
      </w:r>
      <w:r w:rsidRPr="005B0FB1">
        <w:rPr>
          <w:rFonts w:ascii="Times New Roman" w:hAnsi="Times New Roman"/>
          <w:vertAlign w:val="superscript"/>
          <w:lang w:val="it-IT"/>
        </w:rPr>
        <w:t>1</w:t>
      </w:r>
      <w:r w:rsidRPr="001E7D01">
        <w:rPr>
          <w:rFonts w:ascii="Times New Roman" w:hAnsi="Times New Roman"/>
          <w:lang w:val="it-IT"/>
        </w:rPr>
        <w:t xml:space="preserve">, P. </w:t>
      </w:r>
      <w:r>
        <w:rPr>
          <w:rFonts w:ascii="Times New Roman" w:hAnsi="Times New Roman"/>
          <w:lang w:val="it-IT"/>
        </w:rPr>
        <w:t>Minelli</w:t>
      </w:r>
      <w:r w:rsidRPr="005B0FB1">
        <w:rPr>
          <w:rFonts w:ascii="Times New Roman" w:hAnsi="Times New Roman"/>
          <w:vertAlign w:val="superscript"/>
          <w:lang w:val="it-IT"/>
        </w:rPr>
        <w:t>1</w:t>
      </w:r>
      <w:r>
        <w:rPr>
          <w:rFonts w:ascii="Times New Roman" w:hAnsi="Times New Roman"/>
          <w:lang w:val="it-IT"/>
        </w:rPr>
        <w:t>, D</w:t>
      </w:r>
      <w:r w:rsidR="00D87058">
        <w:rPr>
          <w:rFonts w:ascii="Times New Roman" w:hAnsi="Times New Roman"/>
          <w:lang w:val="it-IT"/>
        </w:rPr>
        <w:t>.</w:t>
      </w:r>
      <w:r>
        <w:rPr>
          <w:rFonts w:ascii="Times New Roman" w:hAnsi="Times New Roman"/>
          <w:lang w:val="it-IT"/>
        </w:rPr>
        <w:t xml:space="preserve"> Bruno</w:t>
      </w:r>
      <w:r w:rsidRPr="005B0FB1">
        <w:rPr>
          <w:rFonts w:ascii="Times New Roman" w:hAnsi="Times New Roman"/>
          <w:vertAlign w:val="superscript"/>
          <w:lang w:val="it-IT"/>
        </w:rPr>
        <w:t>1</w:t>
      </w:r>
      <w:r>
        <w:rPr>
          <w:rFonts w:ascii="Times New Roman" w:hAnsi="Times New Roman"/>
          <w:lang w:val="it-IT"/>
        </w:rPr>
        <w:t xml:space="preserve">, and </w:t>
      </w:r>
      <w:r w:rsidRPr="001E7D01">
        <w:rPr>
          <w:rFonts w:ascii="Times New Roman" w:hAnsi="Times New Roman"/>
          <w:lang w:val="it-IT"/>
        </w:rPr>
        <w:t>F.</w:t>
      </w:r>
      <w:r>
        <w:rPr>
          <w:rFonts w:ascii="Times New Roman" w:hAnsi="Times New Roman"/>
          <w:lang w:val="it-IT"/>
        </w:rPr>
        <w:t xml:space="preserve"> Cichocki</w:t>
      </w:r>
      <w:r>
        <w:rPr>
          <w:rFonts w:ascii="Times New Roman" w:hAnsi="Times New Roman"/>
          <w:vertAlign w:val="superscript"/>
          <w:lang w:val="it-IT"/>
        </w:rPr>
        <w:t>2</w:t>
      </w:r>
      <w:r w:rsidRPr="001E7D01">
        <w:rPr>
          <w:rFonts w:ascii="Times New Roman" w:hAnsi="Times New Roman"/>
          <w:lang w:val="it-IT"/>
        </w:rPr>
        <w:t xml:space="preserve">, </w:t>
      </w:r>
    </w:p>
    <w:p w14:paraId="394DEB2C" w14:textId="77777777" w:rsidR="005B0FB1" w:rsidRPr="00A763AD" w:rsidRDefault="005B0FB1" w:rsidP="005B0FB1">
      <w:pPr>
        <w:jc w:val="center"/>
        <w:rPr>
          <w:rFonts w:ascii="Times New Roman" w:hAnsi="Times New Roman"/>
          <w:i/>
          <w:iCs/>
          <w:sz w:val="20"/>
          <w:szCs w:val="20"/>
          <w:lang w:val="it-IT"/>
        </w:rPr>
      </w:pPr>
      <w:r w:rsidRPr="00A763AD">
        <w:rPr>
          <w:rFonts w:ascii="Times New Roman" w:hAnsi="Times New Roman"/>
          <w:i/>
          <w:iCs/>
          <w:sz w:val="20"/>
          <w:szCs w:val="20"/>
          <w:vertAlign w:val="superscript"/>
          <w:lang w:val="it-IT"/>
        </w:rPr>
        <w:t>1</w:t>
      </w:r>
      <w:r w:rsidRPr="00A763AD">
        <w:rPr>
          <w:rFonts w:ascii="Times New Roman" w:hAnsi="Times New Roman"/>
          <w:i/>
          <w:iCs/>
          <w:sz w:val="20"/>
          <w:szCs w:val="20"/>
          <w:lang w:val="it-IT"/>
        </w:rPr>
        <w:t xml:space="preserve"> </w:t>
      </w:r>
      <w:r w:rsidRPr="00C731C0">
        <w:rPr>
          <w:rFonts w:ascii="Times New Roman" w:hAnsi="Times New Roman"/>
          <w:i/>
          <w:iCs/>
          <w:sz w:val="20"/>
          <w:szCs w:val="20"/>
          <w:lang w:val="it-IT"/>
        </w:rPr>
        <w:t xml:space="preserve">Institute for Plasma Science and Technology – CNR via Amendola 122/D 70125 Bari - </w:t>
      </w:r>
      <w:proofErr w:type="spellStart"/>
      <w:r w:rsidRPr="00C731C0">
        <w:rPr>
          <w:rFonts w:ascii="Times New Roman" w:hAnsi="Times New Roman"/>
          <w:i/>
          <w:iCs/>
          <w:sz w:val="20"/>
          <w:szCs w:val="20"/>
          <w:lang w:val="it-IT"/>
        </w:rPr>
        <w:t>Italy</w:t>
      </w:r>
      <w:proofErr w:type="spellEnd"/>
    </w:p>
    <w:p w14:paraId="7D43CEA6" w14:textId="77777777" w:rsidR="00427739" w:rsidRPr="00A763AD" w:rsidRDefault="005B0FB1" w:rsidP="00D842C0">
      <w:pPr>
        <w:jc w:val="center"/>
        <w:rPr>
          <w:rFonts w:ascii="Times New Roman" w:hAnsi="Times New Roman"/>
          <w:i/>
          <w:iCs/>
          <w:sz w:val="20"/>
          <w:szCs w:val="20"/>
          <w:lang w:val="it-IT"/>
        </w:rPr>
      </w:pPr>
      <w:r w:rsidRPr="00A763AD">
        <w:rPr>
          <w:rFonts w:ascii="Times New Roman" w:hAnsi="Times New Roman"/>
          <w:i/>
          <w:iCs/>
          <w:sz w:val="20"/>
          <w:szCs w:val="20"/>
          <w:vertAlign w:val="superscript"/>
          <w:lang w:val="it-IT"/>
        </w:rPr>
        <w:t>2</w:t>
      </w:r>
      <w:r w:rsidRPr="00A763AD">
        <w:rPr>
          <w:rFonts w:ascii="Times New Roman" w:hAnsi="Times New Roman"/>
          <w:i/>
          <w:iCs/>
          <w:sz w:val="20"/>
          <w:szCs w:val="20"/>
          <w:lang w:val="it-IT"/>
        </w:rPr>
        <w:t xml:space="preserve"> </w:t>
      </w:r>
      <w:proofErr w:type="spellStart"/>
      <w:r w:rsidRPr="00A763AD">
        <w:rPr>
          <w:rFonts w:ascii="Times New Roman" w:hAnsi="Times New Roman"/>
          <w:i/>
          <w:iCs/>
          <w:sz w:val="20"/>
          <w:szCs w:val="20"/>
          <w:lang w:val="it-IT"/>
        </w:rPr>
        <w:t>Nuclear</w:t>
      </w:r>
      <w:proofErr w:type="spellEnd"/>
      <w:r w:rsidRPr="00A763AD">
        <w:rPr>
          <w:rFonts w:ascii="Times New Roman" w:hAnsi="Times New Roman"/>
          <w:i/>
          <w:iCs/>
          <w:sz w:val="20"/>
          <w:szCs w:val="20"/>
          <w:lang w:val="it-IT"/>
        </w:rPr>
        <w:t xml:space="preserve"> Department (NUC), ENEA, C.R. Frascati, via Fermi 45, 00044 Frascati, </w:t>
      </w:r>
      <w:proofErr w:type="spellStart"/>
      <w:r w:rsidRPr="00A763AD">
        <w:rPr>
          <w:rFonts w:ascii="Times New Roman" w:hAnsi="Times New Roman"/>
          <w:i/>
          <w:iCs/>
          <w:sz w:val="20"/>
          <w:szCs w:val="20"/>
          <w:lang w:val="it-IT"/>
        </w:rPr>
        <w:t>Italy</w:t>
      </w:r>
      <w:proofErr w:type="spellEnd"/>
    </w:p>
    <w:p w14:paraId="2D5BA413" w14:textId="77777777" w:rsidR="005B0FB1" w:rsidRPr="00A763AD" w:rsidRDefault="005B0FB1" w:rsidP="005B0FB1">
      <w:pPr>
        <w:rPr>
          <w:rFonts w:ascii="Times New Roman" w:hAnsi="Times New Roman"/>
          <w:i/>
          <w:iCs/>
          <w:sz w:val="20"/>
          <w:szCs w:val="20"/>
          <w:lang w:val="it-IT"/>
        </w:rPr>
      </w:pPr>
    </w:p>
    <w:p w14:paraId="2FB24ACA" w14:textId="77777777" w:rsidR="005B0FB1" w:rsidRPr="00A763AD" w:rsidRDefault="005B0FB1" w:rsidP="005B0FB1">
      <w:pPr>
        <w:rPr>
          <w:lang w:val="it-IT"/>
        </w:rPr>
      </w:pPr>
    </w:p>
    <w:p w14:paraId="27A4B427" w14:textId="75A4553D" w:rsidR="005B0FB1" w:rsidRPr="00AB62C6" w:rsidRDefault="005B0FB1" w:rsidP="006944F2">
      <w:pPr>
        <w:rPr>
          <w:rFonts w:ascii="Times New Roman" w:hAnsi="Times New Roman" w:cs="Times New Roman"/>
          <w:lang w:val="en-US"/>
        </w:rPr>
      </w:pPr>
      <w:r w:rsidRPr="005B0FB1">
        <w:rPr>
          <w:rFonts w:ascii="Times New Roman" w:hAnsi="Times New Roman" w:cs="Times New Roman"/>
          <w:lang w:val="en-US"/>
        </w:rPr>
        <w:t>In the frame of non-equilibrium discharge processing for CO</w:t>
      </w:r>
      <w:r w:rsidRPr="005B0FB1">
        <w:rPr>
          <w:rFonts w:ascii="Times New Roman" w:hAnsi="Times New Roman" w:cs="Times New Roman"/>
          <w:vertAlign w:val="subscript"/>
          <w:lang w:val="en-US"/>
        </w:rPr>
        <w:t>2</w:t>
      </w:r>
      <w:r w:rsidRPr="005B0FB1">
        <w:rPr>
          <w:rFonts w:ascii="Times New Roman" w:hAnsi="Times New Roman" w:cs="Times New Roman"/>
          <w:lang w:val="en-US"/>
        </w:rPr>
        <w:t xml:space="preserve"> valorization and nitrogen fixation, nanosecond repetitively pulsed (NRP) discharges have shown a promising set of performances</w:t>
      </w:r>
      <w:r w:rsidR="00553E63">
        <w:rPr>
          <w:rFonts w:ascii="Times New Roman" w:hAnsi="Times New Roman" w:cs="Times New Roman"/>
          <w:lang w:val="en-US"/>
        </w:rPr>
        <w:t xml:space="preserve"> [1]</w:t>
      </w:r>
      <w:r w:rsidRPr="005B0FB1">
        <w:rPr>
          <w:rFonts w:ascii="Times New Roman" w:hAnsi="Times New Roman" w:cs="Times New Roman"/>
          <w:lang w:val="en-US"/>
        </w:rPr>
        <w:t>. A modelling attempt must address microscopic time/space-resolved description of the physics and kinetics of the discharge. To this end, Particle-in-Cell (PIC) models seem to be the only option.</w:t>
      </w:r>
      <w:r w:rsidR="00AB62C6">
        <w:rPr>
          <w:rFonts w:ascii="Times New Roman" w:hAnsi="Times New Roman" w:cs="Times New Roman"/>
          <w:lang w:val="en-US"/>
        </w:rPr>
        <w:t xml:space="preserve"> </w:t>
      </w:r>
      <w:r w:rsidRPr="005B0FB1">
        <w:rPr>
          <w:rFonts w:ascii="Times New Roman" w:hAnsi="Times New Roman" w:cs="Times New Roman"/>
        </w:rPr>
        <w:t>The point-to-plane discharge</w:t>
      </w:r>
      <w:r w:rsidR="00553E63">
        <w:rPr>
          <w:rFonts w:ascii="Times New Roman" w:hAnsi="Times New Roman" w:cs="Times New Roman"/>
        </w:rPr>
        <w:t xml:space="preserve"> simulated</w:t>
      </w:r>
      <w:r w:rsidRPr="005B0FB1">
        <w:rPr>
          <w:rFonts w:ascii="Times New Roman" w:hAnsi="Times New Roman" w:cs="Times New Roman"/>
        </w:rPr>
        <w:t xml:space="preserve"> is made of a tungsten needle and a</w:t>
      </w:r>
      <w:r w:rsidR="00AB62C6">
        <w:rPr>
          <w:rFonts w:ascii="Times New Roman" w:hAnsi="Times New Roman" w:cs="Times New Roman"/>
        </w:rPr>
        <w:t>n</w:t>
      </w:r>
      <w:r w:rsidRPr="005B0FB1">
        <w:rPr>
          <w:rFonts w:ascii="Times New Roman" w:hAnsi="Times New Roman" w:cs="Times New Roman"/>
        </w:rPr>
        <w:t xml:space="preserve"> SS plate with inter-electrode gap of 3 mm. The voltage and current plot at 100 Torr N</w:t>
      </w:r>
      <w:r w:rsidRPr="005B0FB1">
        <w:rPr>
          <w:rFonts w:ascii="Times New Roman" w:hAnsi="Times New Roman" w:cs="Times New Roman"/>
          <w:vertAlign w:val="subscript"/>
        </w:rPr>
        <w:t>2</w:t>
      </w:r>
      <w:r w:rsidRPr="005B0FB1">
        <w:rPr>
          <w:rFonts w:ascii="Times New Roman" w:hAnsi="Times New Roman" w:cs="Times New Roman"/>
        </w:rPr>
        <w:t xml:space="preserve"> gas is shown in Fig. 1.</w:t>
      </w:r>
    </w:p>
    <w:p w14:paraId="749FF842" w14:textId="77777777" w:rsidR="00D87058" w:rsidRDefault="00D87058" w:rsidP="005B0FB1">
      <w:pPr>
        <w:rPr>
          <w:rFonts w:ascii="Times New Roman" w:hAnsi="Times New Roman" w:cs="Times New Roman"/>
        </w:rPr>
      </w:pPr>
    </w:p>
    <w:p w14:paraId="3803EFBE" w14:textId="77777777" w:rsidR="005B0FB1" w:rsidRPr="005B0FB1" w:rsidRDefault="005B0FB1" w:rsidP="005B0FB1">
      <w:pPr>
        <w:jc w:val="center"/>
        <w:rPr>
          <w:rFonts w:ascii="Times New Roman" w:hAnsi="Times New Roman" w:cs="Times New Roman"/>
        </w:rPr>
      </w:pPr>
      <w:r w:rsidRPr="005B0FB1">
        <w:rPr>
          <w:rFonts w:ascii="Times New Roman" w:hAnsi="Times New Roman" w:cs="Times New Roman"/>
          <w:noProof/>
          <w:lang w:val="it-IT"/>
        </w:rPr>
        <w:drawing>
          <wp:inline distT="0" distB="0" distL="0" distR="0" wp14:anchorId="27CED7C4" wp14:editId="60504F3F">
            <wp:extent cx="2637345" cy="214050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 and HV Nanosecondo.png"/>
                    <pic:cNvPicPr/>
                  </pic:nvPicPr>
                  <pic:blipFill rotWithShape="1">
                    <a:blip r:embed="rId5" cstate="print">
                      <a:extLst>
                        <a:ext uri="{28A0092B-C50C-407E-A947-70E740481C1C}">
                          <a14:useLocalDpi xmlns:a14="http://schemas.microsoft.com/office/drawing/2010/main" val="0"/>
                        </a:ext>
                      </a:extLst>
                    </a:blip>
                    <a:srcRect l="16333" r="14349"/>
                    <a:stretch>
                      <a:fillRect/>
                    </a:stretch>
                  </pic:blipFill>
                  <pic:spPr bwMode="auto">
                    <a:xfrm>
                      <a:off x="0" y="0"/>
                      <a:ext cx="2703011" cy="2193804"/>
                    </a:xfrm>
                    <a:prstGeom prst="rect">
                      <a:avLst/>
                    </a:prstGeom>
                    <a:ln>
                      <a:noFill/>
                    </a:ln>
                    <a:extLst>
                      <a:ext uri="{53640926-AAD7-44D8-BBD7-CCE9431645EC}">
                        <a14:shadowObscured xmlns:a14="http://schemas.microsoft.com/office/drawing/2010/main"/>
                      </a:ext>
                    </a:extLst>
                  </pic:spPr>
                </pic:pic>
              </a:graphicData>
            </a:graphic>
          </wp:inline>
        </w:drawing>
      </w:r>
    </w:p>
    <w:p w14:paraId="0A1117EE" w14:textId="77777777" w:rsidR="005B0FB1" w:rsidRPr="005B0FB1" w:rsidRDefault="005B0FB1" w:rsidP="005B0FB1">
      <w:pPr>
        <w:jc w:val="center"/>
        <w:rPr>
          <w:rFonts w:ascii="Times New Roman" w:hAnsi="Times New Roman" w:cs="Times New Roman"/>
          <w:bCs/>
          <w:sz w:val="20"/>
          <w:szCs w:val="20"/>
        </w:rPr>
      </w:pPr>
      <w:r w:rsidRPr="00D87058">
        <w:rPr>
          <w:rFonts w:ascii="Times New Roman" w:hAnsi="Times New Roman" w:cs="Times New Roman"/>
          <w:b/>
          <w:bCs/>
          <w:sz w:val="20"/>
          <w:szCs w:val="20"/>
        </w:rPr>
        <w:t xml:space="preserve">Fig. 1 </w:t>
      </w:r>
      <w:r w:rsidRPr="005B0FB1">
        <w:rPr>
          <w:rFonts w:ascii="Times New Roman" w:hAnsi="Times New Roman" w:cs="Times New Roman"/>
          <w:bCs/>
          <w:sz w:val="20"/>
          <w:szCs w:val="20"/>
        </w:rPr>
        <w:t>Applied voltage and current at 100 Torr.</w:t>
      </w:r>
    </w:p>
    <w:p w14:paraId="4CCFB903" w14:textId="77777777" w:rsidR="005B0FB1" w:rsidRDefault="005B0FB1" w:rsidP="005B0FB1">
      <w:pPr>
        <w:rPr>
          <w:rFonts w:ascii="Times New Roman" w:hAnsi="Times New Roman" w:cs="Times New Roman"/>
          <w:lang w:val="en-US"/>
        </w:rPr>
      </w:pPr>
      <w:r w:rsidRPr="005B0FB1">
        <w:rPr>
          <w:rFonts w:ascii="Times New Roman" w:hAnsi="Times New Roman" w:cs="Times New Roman"/>
          <w:lang w:val="en-US"/>
        </w:rPr>
        <w:t xml:space="preserve"> </w:t>
      </w:r>
    </w:p>
    <w:p w14:paraId="57F980BB" w14:textId="75AA4F11" w:rsidR="005B0FB1" w:rsidRDefault="00DC0D78" w:rsidP="005B0FB1">
      <w:pPr>
        <w:tabs>
          <w:tab w:val="num" w:pos="720"/>
        </w:tabs>
        <w:rPr>
          <w:rFonts w:ascii="Times New Roman" w:hAnsi="Times New Roman" w:cs="Times New Roman"/>
          <w:lang w:val="en-US"/>
        </w:rPr>
      </w:pPr>
      <w:r>
        <w:rPr>
          <w:rFonts w:ascii="Times New Roman" w:hAnsi="Times New Roman" w:cs="Times New Roman"/>
        </w:rPr>
        <w:t>Simulations are run with</w:t>
      </w:r>
      <w:r w:rsidR="005B0FB1" w:rsidRPr="005B0FB1">
        <w:rPr>
          <w:rFonts w:ascii="Times New Roman" w:hAnsi="Times New Roman" w:cs="Times New Roman"/>
        </w:rPr>
        <w:t xml:space="preserve"> the PICCOLO code, described in more detail in [</w:t>
      </w:r>
      <w:r w:rsidR="00553E63">
        <w:rPr>
          <w:rFonts w:ascii="Times New Roman" w:hAnsi="Times New Roman" w:cs="Times New Roman"/>
        </w:rPr>
        <w:t>2,3</w:t>
      </w:r>
      <w:r w:rsidR="005B0FB1" w:rsidRPr="005B0FB1">
        <w:rPr>
          <w:rFonts w:ascii="Times New Roman" w:hAnsi="Times New Roman" w:cs="Times New Roman"/>
        </w:rPr>
        <w:t>]</w:t>
      </w:r>
      <w:r w:rsidR="005B0FB1">
        <w:rPr>
          <w:rFonts w:ascii="Times New Roman" w:hAnsi="Times New Roman" w:cs="Times New Roman"/>
        </w:rPr>
        <w:t xml:space="preserve">, </w:t>
      </w:r>
      <w:r w:rsidR="00DC0E4E">
        <w:rPr>
          <w:rFonts w:ascii="Times New Roman" w:hAnsi="Times New Roman" w:cs="Times New Roman"/>
        </w:rPr>
        <w:t xml:space="preserve">and </w:t>
      </w:r>
      <w:r w:rsidR="00871355">
        <w:rPr>
          <w:rFonts w:ascii="Times New Roman" w:hAnsi="Times New Roman" w:cs="Times New Roman"/>
        </w:rPr>
        <w:t>featur</w:t>
      </w:r>
      <w:r w:rsidR="00DC0E4E">
        <w:rPr>
          <w:rFonts w:ascii="Times New Roman" w:hAnsi="Times New Roman" w:cs="Times New Roman"/>
        </w:rPr>
        <w:t>e</w:t>
      </w:r>
      <w:r w:rsidR="00871355">
        <w:rPr>
          <w:rFonts w:ascii="Times New Roman" w:hAnsi="Times New Roman" w:cs="Times New Roman"/>
        </w:rPr>
        <w:t xml:space="preserve"> a </w:t>
      </w:r>
      <w:r w:rsidR="00871355" w:rsidRPr="00A763AD">
        <w:rPr>
          <w:rFonts w:ascii="Times New Roman" w:hAnsi="Times New Roman" w:cs="Times New Roman"/>
          <w:lang w:val="en-US"/>
        </w:rPr>
        <w:t>Particle-in-Cell / Monte Carlo Collision (PIC-MCC)</w:t>
      </w:r>
      <w:r w:rsidR="00871355">
        <w:rPr>
          <w:rFonts w:ascii="Times New Roman" w:hAnsi="Times New Roman" w:cs="Times New Roman"/>
          <w:lang w:val="en-US"/>
        </w:rPr>
        <w:t xml:space="preserve"> model in</w:t>
      </w:r>
      <w:r w:rsidR="005B0FB1" w:rsidRPr="00A763AD">
        <w:rPr>
          <w:rFonts w:ascii="Times New Roman" w:hAnsi="Times New Roman" w:cs="Times New Roman"/>
          <w:lang w:val="en-US"/>
        </w:rPr>
        <w:t xml:space="preserve"> 2D(</w:t>
      </w:r>
      <w:proofErr w:type="spellStart"/>
      <w:r w:rsidR="005B0FB1" w:rsidRPr="00A763AD">
        <w:rPr>
          <w:rFonts w:ascii="Times New Roman" w:hAnsi="Times New Roman" w:cs="Times New Roman"/>
          <w:lang w:val="en-US"/>
        </w:rPr>
        <w:t>r,z</w:t>
      </w:r>
      <w:proofErr w:type="spellEnd"/>
      <w:r w:rsidR="005B0FB1" w:rsidRPr="00A763AD">
        <w:rPr>
          <w:rFonts w:ascii="Times New Roman" w:hAnsi="Times New Roman" w:cs="Times New Roman"/>
          <w:lang w:val="en-US"/>
        </w:rPr>
        <w:t xml:space="preserve">)-cylindrical </w:t>
      </w:r>
      <w:proofErr w:type="spellStart"/>
      <w:r w:rsidR="005B0FB1" w:rsidRPr="00A763AD">
        <w:rPr>
          <w:rFonts w:ascii="Times New Roman" w:hAnsi="Times New Roman" w:cs="Times New Roman"/>
          <w:lang w:val="en-US"/>
        </w:rPr>
        <w:t>axi</w:t>
      </w:r>
      <w:proofErr w:type="spellEnd"/>
      <w:r w:rsidR="005B0FB1" w:rsidRPr="00A763AD">
        <w:rPr>
          <w:rFonts w:ascii="Times New Roman" w:hAnsi="Times New Roman" w:cs="Times New Roman"/>
          <w:lang w:val="en-US"/>
        </w:rPr>
        <w:t>-s</w:t>
      </w:r>
      <w:r w:rsidR="00DC0E4E">
        <w:rPr>
          <w:rFonts w:ascii="Times New Roman" w:hAnsi="Times New Roman" w:cs="Times New Roman"/>
          <w:lang w:val="en-US"/>
        </w:rPr>
        <w:t>y</w:t>
      </w:r>
      <w:r w:rsidR="005B0FB1" w:rsidRPr="00A763AD">
        <w:rPr>
          <w:rFonts w:ascii="Times New Roman" w:hAnsi="Times New Roman" w:cs="Times New Roman"/>
          <w:lang w:val="en-US"/>
        </w:rPr>
        <w:t xml:space="preserve">mmetric </w:t>
      </w:r>
      <w:r w:rsidR="00DC0E4E">
        <w:rPr>
          <w:rFonts w:ascii="Times New Roman" w:hAnsi="Times New Roman" w:cs="Times New Roman"/>
          <w:lang w:val="en-US"/>
        </w:rPr>
        <w:t xml:space="preserve">coordinates </w:t>
      </w:r>
      <w:r w:rsidR="00E67600">
        <w:rPr>
          <w:rFonts w:ascii="Times New Roman" w:hAnsi="Times New Roman" w:cs="Times New Roman"/>
          <w:lang w:val="en-US"/>
        </w:rPr>
        <w:t xml:space="preserve">to capture </w:t>
      </w:r>
      <w:r w:rsidR="007B1961">
        <w:rPr>
          <w:rFonts w:ascii="Times New Roman" w:hAnsi="Times New Roman" w:cs="Times New Roman"/>
          <w:lang w:val="en-US"/>
        </w:rPr>
        <w:t>the</w:t>
      </w:r>
      <w:r w:rsidR="007B1961">
        <w:rPr>
          <w:rFonts w:ascii="Times New Roman" w:hAnsi="Times New Roman" w:cs="Times New Roman"/>
          <w:lang w:val="en-US"/>
        </w:rPr>
        <w:t xml:space="preserve"> </w:t>
      </w:r>
      <w:r w:rsidR="007B1961" w:rsidRPr="00A763AD">
        <w:rPr>
          <w:rFonts w:ascii="Times New Roman" w:hAnsi="Times New Roman" w:cs="Times New Roman"/>
          <w:lang w:val="en-US"/>
        </w:rPr>
        <w:t>nitrogen plasma (electron / N</w:t>
      </w:r>
      <w:r w:rsidR="007B1961" w:rsidRPr="00A763AD">
        <w:rPr>
          <w:rFonts w:ascii="Times New Roman" w:hAnsi="Times New Roman" w:cs="Times New Roman"/>
          <w:vertAlign w:val="superscript"/>
          <w:lang w:val="en-US"/>
        </w:rPr>
        <w:t>+</w:t>
      </w:r>
      <w:r w:rsidR="007B1961" w:rsidRPr="00A763AD">
        <w:rPr>
          <w:rFonts w:ascii="Times New Roman" w:hAnsi="Times New Roman" w:cs="Times New Roman"/>
          <w:lang w:val="en-US"/>
        </w:rPr>
        <w:t xml:space="preserve"> and N</w:t>
      </w:r>
      <w:r w:rsidR="007B1961" w:rsidRPr="00A763AD">
        <w:rPr>
          <w:rFonts w:ascii="Times New Roman" w:hAnsi="Times New Roman" w:cs="Times New Roman"/>
          <w:vertAlign w:val="subscript"/>
          <w:lang w:val="en-US"/>
        </w:rPr>
        <w:t>2</w:t>
      </w:r>
      <w:r w:rsidR="007B1961" w:rsidRPr="00A763AD">
        <w:rPr>
          <w:rFonts w:ascii="Times New Roman" w:hAnsi="Times New Roman" w:cs="Times New Roman"/>
          <w:vertAlign w:val="superscript"/>
          <w:lang w:val="en-US"/>
        </w:rPr>
        <w:t>+</w:t>
      </w:r>
      <w:r w:rsidR="007B1961" w:rsidRPr="00A763AD">
        <w:rPr>
          <w:rFonts w:ascii="Times New Roman" w:hAnsi="Times New Roman" w:cs="Times New Roman"/>
          <w:lang w:val="en-US"/>
        </w:rPr>
        <w:t xml:space="preserve"> ions) </w:t>
      </w:r>
      <w:r w:rsidR="005B0FB1" w:rsidRPr="00A763AD">
        <w:rPr>
          <w:rFonts w:ascii="Times New Roman" w:hAnsi="Times New Roman" w:cs="Times New Roman"/>
          <w:lang w:val="en-US"/>
        </w:rPr>
        <w:t>dynamics of the single n</w:t>
      </w:r>
      <w:r w:rsidR="005B0FB1" w:rsidRPr="00A763AD">
        <w:rPr>
          <w:rFonts w:ascii="Times New Roman" w:hAnsi="Times New Roman" w:cs="Times New Roman"/>
          <w:vertAlign w:val="superscript"/>
          <w:lang w:val="en-US"/>
        </w:rPr>
        <w:t>th</w:t>
      </w:r>
      <w:r w:rsidR="005B0FB1" w:rsidRPr="00A763AD">
        <w:rPr>
          <w:rFonts w:ascii="Times New Roman" w:hAnsi="Times New Roman" w:cs="Times New Roman"/>
          <w:lang w:val="en-US"/>
        </w:rPr>
        <w:t xml:space="preserve"> pulse. A prescribed voltage is imposed </w:t>
      </w:r>
      <w:r w:rsidR="007B1961">
        <w:rPr>
          <w:rFonts w:ascii="Times New Roman" w:hAnsi="Times New Roman" w:cs="Times New Roman"/>
          <w:lang w:val="en-US"/>
        </w:rPr>
        <w:t>at</w:t>
      </w:r>
      <w:r w:rsidR="005B0FB1" w:rsidRPr="00A763AD">
        <w:rPr>
          <w:rFonts w:ascii="Times New Roman" w:hAnsi="Times New Roman" w:cs="Times New Roman"/>
          <w:lang w:val="en-US"/>
        </w:rPr>
        <w:t xml:space="preserve"> the anodic needle, while the plate is kept grounded. The simulation starts by seeding a fixed number of electrons / ions with a given non-uniform spatial distribution (initial plasma density n</w:t>
      </w:r>
      <w:r w:rsidR="005B0FB1" w:rsidRPr="00A763AD">
        <w:rPr>
          <w:rFonts w:ascii="Times New Roman" w:hAnsi="Times New Roman" w:cs="Times New Roman"/>
          <w:vertAlign w:val="subscript"/>
          <w:lang w:val="en-US"/>
        </w:rPr>
        <w:t>0</w:t>
      </w:r>
      <w:r w:rsidR="005B0FB1" w:rsidRPr="00A763AD">
        <w:rPr>
          <w:rFonts w:ascii="Times New Roman" w:hAnsi="Times New Roman" w:cs="Times New Roman"/>
          <w:lang w:val="en-US"/>
        </w:rPr>
        <w:t xml:space="preserve"> = 10</w:t>
      </w:r>
      <w:r w:rsidR="005B0FB1" w:rsidRPr="00A763AD">
        <w:rPr>
          <w:rFonts w:ascii="Times New Roman" w:hAnsi="Times New Roman" w:cs="Times New Roman"/>
          <w:vertAlign w:val="superscript"/>
          <w:lang w:val="en-US"/>
        </w:rPr>
        <w:t xml:space="preserve">17 </w:t>
      </w:r>
      <w:r w:rsidR="005B0FB1" w:rsidRPr="00A763AD">
        <w:rPr>
          <w:rFonts w:ascii="Times New Roman" w:hAnsi="Times New Roman" w:cs="Times New Roman"/>
          <w:lang w:val="en-US"/>
        </w:rPr>
        <w:t>m</w:t>
      </w:r>
      <w:r w:rsidR="005B0FB1" w:rsidRPr="00A763AD">
        <w:rPr>
          <w:rFonts w:ascii="Times New Roman" w:hAnsi="Times New Roman" w:cs="Times New Roman"/>
          <w:vertAlign w:val="superscript"/>
          <w:lang w:val="en-US"/>
        </w:rPr>
        <w:t>-3</w:t>
      </w:r>
      <w:r w:rsidR="005B0FB1" w:rsidRPr="00A763AD">
        <w:rPr>
          <w:rFonts w:ascii="Times New Roman" w:hAnsi="Times New Roman" w:cs="Times New Roman"/>
          <w:lang w:val="en-US"/>
        </w:rPr>
        <w:t>) mimicking the residual charges (globally neutral) that are present in the system after the previous (n-1)</w:t>
      </w:r>
      <w:proofErr w:type="spellStart"/>
      <w:r w:rsidR="005B0FB1" w:rsidRPr="00A763AD">
        <w:rPr>
          <w:rFonts w:ascii="Times New Roman" w:hAnsi="Times New Roman" w:cs="Times New Roman"/>
          <w:vertAlign w:val="superscript"/>
          <w:lang w:val="en-US"/>
        </w:rPr>
        <w:t>th</w:t>
      </w:r>
      <w:proofErr w:type="spellEnd"/>
      <w:r w:rsidR="005B0FB1" w:rsidRPr="00A763AD">
        <w:rPr>
          <w:rFonts w:ascii="Times New Roman" w:hAnsi="Times New Roman" w:cs="Times New Roman"/>
          <w:lang w:val="en-US"/>
        </w:rPr>
        <w:t xml:space="preserve"> pulse in the experiment. The neutral background density of </w:t>
      </w:r>
      <w:r w:rsidR="007B1961">
        <w:rPr>
          <w:rFonts w:ascii="Times New Roman" w:hAnsi="Times New Roman" w:cs="Times New Roman"/>
          <w:lang w:val="en-US"/>
        </w:rPr>
        <w:t xml:space="preserve">N </w:t>
      </w:r>
      <w:r w:rsidR="005B0FB1" w:rsidRPr="00A763AD">
        <w:rPr>
          <w:rFonts w:ascii="Times New Roman" w:hAnsi="Times New Roman" w:cs="Times New Roman"/>
          <w:lang w:val="en-US"/>
        </w:rPr>
        <w:t>atoms</w:t>
      </w:r>
      <w:r w:rsidR="007B1961">
        <w:rPr>
          <w:rFonts w:ascii="Times New Roman" w:hAnsi="Times New Roman" w:cs="Times New Roman"/>
          <w:lang w:val="en-US"/>
        </w:rPr>
        <w:t xml:space="preserve">, </w:t>
      </w:r>
      <w:r w:rsidR="005B0FB1" w:rsidRPr="00A763AD">
        <w:rPr>
          <w:rFonts w:ascii="Times New Roman" w:hAnsi="Times New Roman" w:cs="Times New Roman"/>
          <w:lang w:val="en-US"/>
        </w:rPr>
        <w:t>of all the vibrational levels of the ground N</w:t>
      </w:r>
      <w:r w:rsidR="005B0FB1" w:rsidRPr="00A763AD">
        <w:rPr>
          <w:rFonts w:ascii="Times New Roman" w:hAnsi="Times New Roman" w:cs="Times New Roman"/>
          <w:vertAlign w:val="subscript"/>
          <w:lang w:val="en-US"/>
        </w:rPr>
        <w:t>2</w:t>
      </w:r>
      <w:r w:rsidR="005B0FB1" w:rsidRPr="00A763AD">
        <w:rPr>
          <w:rFonts w:ascii="Times New Roman" w:hAnsi="Times New Roman" w:cs="Times New Roman"/>
          <w:lang w:val="en-US"/>
        </w:rPr>
        <w:t>(X</w:t>
      </w:r>
      <w:r w:rsidR="005B0FB1" w:rsidRPr="00A763AD">
        <w:rPr>
          <w:rFonts w:ascii="Times New Roman" w:hAnsi="Times New Roman" w:cs="Times New Roman"/>
          <w:vertAlign w:val="superscript"/>
          <w:lang w:val="en-US"/>
        </w:rPr>
        <w:t>1</w:t>
      </w:r>
      <w:r w:rsidR="005B0FB1" w:rsidRPr="005B0FB1">
        <w:rPr>
          <w:rFonts w:ascii="Symbol" w:hAnsi="Symbol" w:cs="Times New Roman"/>
          <w:lang w:val="it-IT"/>
        </w:rPr>
        <w:t>S</w:t>
      </w:r>
      <w:r w:rsidR="005B0FB1" w:rsidRPr="00A763AD">
        <w:rPr>
          <w:rFonts w:ascii="Times New Roman" w:hAnsi="Times New Roman" w:cs="Times New Roman"/>
          <w:vertAlign w:val="subscript"/>
          <w:lang w:val="en-US"/>
        </w:rPr>
        <w:t>g</w:t>
      </w:r>
      <w:r w:rsidR="005B0FB1" w:rsidRPr="00A763AD">
        <w:rPr>
          <w:rFonts w:ascii="Times New Roman" w:hAnsi="Times New Roman" w:cs="Times New Roman"/>
          <w:vertAlign w:val="superscript"/>
          <w:lang w:val="en-US"/>
        </w:rPr>
        <w:t>+</w:t>
      </w:r>
      <w:r w:rsidR="005B0FB1" w:rsidRPr="00A763AD">
        <w:rPr>
          <w:rFonts w:ascii="Times New Roman" w:hAnsi="Times New Roman" w:cs="Times New Roman"/>
          <w:lang w:val="en-US"/>
        </w:rPr>
        <w:t>,</w:t>
      </w:r>
      <w:r w:rsidR="005B0FB1" w:rsidRPr="005B0FB1">
        <w:rPr>
          <w:rFonts w:ascii="Symbol" w:hAnsi="Symbol" w:cs="Times New Roman"/>
          <w:lang w:val="it-IT"/>
        </w:rPr>
        <w:t>n</w:t>
      </w:r>
      <w:r w:rsidR="005B0FB1" w:rsidRPr="00A763AD">
        <w:rPr>
          <w:rFonts w:ascii="Times New Roman" w:hAnsi="Times New Roman" w:cs="Times New Roman"/>
          <w:lang w:val="en-US"/>
        </w:rPr>
        <w:t xml:space="preserve">=0-59) and of the </w:t>
      </w:r>
      <w:proofErr w:type="spellStart"/>
      <w:r w:rsidR="005B0FB1" w:rsidRPr="00A763AD">
        <w:rPr>
          <w:rFonts w:ascii="Times New Roman" w:hAnsi="Times New Roman" w:cs="Times New Roman"/>
          <w:lang w:val="en-US"/>
        </w:rPr>
        <w:t>metastables</w:t>
      </w:r>
      <w:proofErr w:type="spellEnd"/>
      <w:r w:rsidR="005B0FB1" w:rsidRPr="00A763AD">
        <w:rPr>
          <w:rFonts w:ascii="Times New Roman" w:hAnsi="Times New Roman" w:cs="Times New Roman"/>
          <w:lang w:val="en-US"/>
        </w:rPr>
        <w:t xml:space="preserve"> N</w:t>
      </w:r>
      <w:r w:rsidR="005B0FB1" w:rsidRPr="00A763AD">
        <w:rPr>
          <w:rFonts w:ascii="Times New Roman" w:hAnsi="Times New Roman" w:cs="Times New Roman"/>
          <w:vertAlign w:val="subscript"/>
          <w:lang w:val="en-US"/>
        </w:rPr>
        <w:t>2</w:t>
      </w:r>
      <w:r w:rsidR="005B0FB1" w:rsidRPr="00A763AD">
        <w:rPr>
          <w:rFonts w:ascii="Times New Roman" w:hAnsi="Times New Roman" w:cs="Times New Roman"/>
          <w:lang w:val="en-US"/>
        </w:rPr>
        <w:t>(A</w:t>
      </w:r>
      <w:r w:rsidR="005B0FB1" w:rsidRPr="00A763AD">
        <w:rPr>
          <w:rFonts w:ascii="Times New Roman" w:hAnsi="Times New Roman" w:cs="Times New Roman"/>
          <w:vertAlign w:val="superscript"/>
          <w:lang w:val="en-US"/>
        </w:rPr>
        <w:t>3</w:t>
      </w:r>
      <w:r w:rsidR="005B0FB1" w:rsidRPr="005B0FB1">
        <w:rPr>
          <w:rFonts w:ascii="Symbol" w:hAnsi="Symbol" w:cs="Times New Roman"/>
          <w:lang w:val="it-IT"/>
        </w:rPr>
        <w:t>S</w:t>
      </w:r>
      <w:r w:rsidR="005B0FB1" w:rsidRPr="00A763AD">
        <w:rPr>
          <w:rFonts w:ascii="Times New Roman" w:hAnsi="Times New Roman" w:cs="Times New Roman"/>
          <w:vertAlign w:val="subscript"/>
          <w:lang w:val="en-US"/>
        </w:rPr>
        <w:t>u</w:t>
      </w:r>
      <w:r w:rsidR="005B0FB1" w:rsidRPr="00A763AD">
        <w:rPr>
          <w:rFonts w:ascii="Times New Roman" w:hAnsi="Times New Roman" w:cs="Times New Roman"/>
          <w:vertAlign w:val="superscript"/>
          <w:lang w:val="en-US"/>
        </w:rPr>
        <w:t>+</w:t>
      </w:r>
      <w:r w:rsidR="005B0FB1" w:rsidRPr="00A763AD">
        <w:rPr>
          <w:rFonts w:ascii="Times New Roman" w:hAnsi="Times New Roman" w:cs="Times New Roman"/>
          <w:lang w:val="en-US"/>
        </w:rPr>
        <w:t>) and N</w:t>
      </w:r>
      <w:r w:rsidR="005B0FB1" w:rsidRPr="00A763AD">
        <w:rPr>
          <w:rFonts w:ascii="Times New Roman" w:hAnsi="Times New Roman" w:cs="Times New Roman"/>
          <w:vertAlign w:val="subscript"/>
          <w:lang w:val="en-US"/>
        </w:rPr>
        <w:t>2</w:t>
      </w:r>
      <w:r w:rsidR="005B0FB1" w:rsidRPr="00A763AD">
        <w:rPr>
          <w:rFonts w:ascii="Times New Roman" w:hAnsi="Times New Roman" w:cs="Times New Roman"/>
          <w:lang w:val="en-US"/>
        </w:rPr>
        <w:t>(a′</w:t>
      </w:r>
      <w:r w:rsidR="005B0FB1" w:rsidRPr="00A763AD">
        <w:rPr>
          <w:rFonts w:ascii="Times New Roman" w:hAnsi="Times New Roman" w:cs="Times New Roman"/>
          <w:vertAlign w:val="superscript"/>
          <w:lang w:val="en-US"/>
        </w:rPr>
        <w:t>1</w:t>
      </w:r>
      <w:r w:rsidR="005B0FB1" w:rsidRPr="005B0FB1">
        <w:rPr>
          <w:rFonts w:ascii="Symbol" w:hAnsi="Symbol" w:cs="Times New Roman"/>
          <w:lang w:val="it-IT"/>
        </w:rPr>
        <w:t>S</w:t>
      </w:r>
      <w:r w:rsidR="005B0FB1" w:rsidRPr="00A763AD">
        <w:rPr>
          <w:rFonts w:ascii="Times New Roman" w:hAnsi="Times New Roman" w:cs="Times New Roman"/>
          <w:vertAlign w:val="subscript"/>
          <w:lang w:val="en-US"/>
        </w:rPr>
        <w:t>u</w:t>
      </w:r>
      <w:r w:rsidR="005B0FB1" w:rsidRPr="00A763AD">
        <w:rPr>
          <w:rFonts w:ascii="Times New Roman" w:hAnsi="Times New Roman" w:cs="Times New Roman"/>
          <w:vertAlign w:val="superscript"/>
          <w:lang w:val="en-US"/>
        </w:rPr>
        <w:t>-</w:t>
      </w:r>
      <w:r w:rsidR="005B0FB1" w:rsidRPr="00A763AD">
        <w:rPr>
          <w:rFonts w:ascii="Times New Roman" w:hAnsi="Times New Roman" w:cs="Times New Roman"/>
          <w:lang w:val="en-US"/>
        </w:rPr>
        <w:t xml:space="preserve">) is </w:t>
      </w:r>
      <w:r w:rsidR="007B1961" w:rsidRPr="00A763AD">
        <w:rPr>
          <w:rFonts w:ascii="Times New Roman" w:hAnsi="Times New Roman" w:cs="Times New Roman"/>
          <w:lang w:val="en-US"/>
        </w:rPr>
        <w:t>continuously</w:t>
      </w:r>
      <w:r w:rsidR="005B0FB1" w:rsidRPr="00A763AD">
        <w:rPr>
          <w:rFonts w:ascii="Times New Roman" w:hAnsi="Times New Roman" w:cs="Times New Roman"/>
          <w:lang w:val="en-US"/>
        </w:rPr>
        <w:t xml:space="preserve"> updated by self-consistently solving their master equations knowing the electron-induced source/sink frequency term </w:t>
      </w:r>
      <w:r w:rsidR="005B0FB1" w:rsidRPr="005B0FB1">
        <w:rPr>
          <w:rFonts w:ascii="Symbol" w:hAnsi="Symbol" w:cs="Times New Roman"/>
          <w:lang w:val="it-IT"/>
        </w:rPr>
        <w:t>n</w:t>
      </w:r>
      <w:proofErr w:type="spellStart"/>
      <w:r w:rsidR="005B0FB1" w:rsidRPr="00A763AD">
        <w:rPr>
          <w:rFonts w:ascii="Times New Roman" w:hAnsi="Times New Roman" w:cs="Times New Roman"/>
          <w:vertAlign w:val="subscript"/>
          <w:lang w:val="en-US"/>
        </w:rPr>
        <w:t>eX</w:t>
      </w:r>
      <w:proofErr w:type="spellEnd"/>
      <w:r w:rsidR="005B0FB1" w:rsidRPr="00A763AD">
        <w:rPr>
          <w:rFonts w:ascii="Times New Roman" w:hAnsi="Times New Roman" w:cs="Times New Roman"/>
          <w:lang w:val="en-US"/>
        </w:rPr>
        <w:t>=&lt;</w:t>
      </w:r>
      <w:r w:rsidR="005B0FB1" w:rsidRPr="005B0FB1">
        <w:rPr>
          <w:rFonts w:ascii="Symbol" w:hAnsi="Symbol" w:cs="Times New Roman"/>
          <w:lang w:val="it-IT"/>
        </w:rPr>
        <w:t>s</w:t>
      </w:r>
      <w:proofErr w:type="spellStart"/>
      <w:r w:rsidR="005B0FB1" w:rsidRPr="00A763AD">
        <w:rPr>
          <w:rFonts w:ascii="Times New Roman" w:hAnsi="Times New Roman" w:cs="Times New Roman"/>
          <w:vertAlign w:val="subscript"/>
          <w:lang w:val="en-US"/>
        </w:rPr>
        <w:t>eX</w:t>
      </w:r>
      <w:r w:rsidR="005B0FB1" w:rsidRPr="00A763AD">
        <w:rPr>
          <w:rFonts w:ascii="Times New Roman" w:hAnsi="Times New Roman" w:cs="Times New Roman"/>
          <w:lang w:val="en-US"/>
        </w:rPr>
        <w:t>v</w:t>
      </w:r>
      <w:r w:rsidR="005B0FB1" w:rsidRPr="00A763AD">
        <w:rPr>
          <w:rFonts w:ascii="Times New Roman" w:hAnsi="Times New Roman" w:cs="Times New Roman"/>
          <w:vertAlign w:val="subscript"/>
          <w:lang w:val="en-US"/>
        </w:rPr>
        <w:t>e</w:t>
      </w:r>
      <w:r w:rsidR="005B0FB1" w:rsidRPr="00A763AD">
        <w:rPr>
          <w:rFonts w:ascii="Times New Roman" w:hAnsi="Times New Roman" w:cs="Times New Roman"/>
          <w:lang w:val="en-US"/>
        </w:rPr>
        <w:t>n</w:t>
      </w:r>
      <w:r w:rsidR="005B0FB1" w:rsidRPr="00A763AD">
        <w:rPr>
          <w:rFonts w:ascii="Times New Roman" w:hAnsi="Times New Roman" w:cs="Times New Roman"/>
          <w:vertAlign w:val="subscript"/>
          <w:lang w:val="en-US"/>
        </w:rPr>
        <w:t>e</w:t>
      </w:r>
      <w:proofErr w:type="spellEnd"/>
      <w:r w:rsidR="005B0FB1" w:rsidRPr="00A763AD">
        <w:rPr>
          <w:rFonts w:ascii="Times New Roman" w:hAnsi="Times New Roman" w:cs="Times New Roman"/>
          <w:lang w:val="en-US"/>
        </w:rPr>
        <w:t>&gt;. The radiative cascade from the excited triplets states B, W, B’, C and from the quintet states A’, C’’ to the triplet metastable state A is to</w:t>
      </w:r>
      <w:r w:rsidR="007B1961">
        <w:rPr>
          <w:rFonts w:ascii="Times New Roman" w:hAnsi="Times New Roman" w:cs="Times New Roman"/>
          <w:lang w:val="en-US"/>
        </w:rPr>
        <w:t>o</w:t>
      </w:r>
      <w:r w:rsidR="005B0FB1" w:rsidRPr="00A763AD">
        <w:rPr>
          <w:rFonts w:ascii="Times New Roman" w:hAnsi="Times New Roman" w:cs="Times New Roman"/>
          <w:lang w:val="en-US"/>
        </w:rPr>
        <w:t xml:space="preserve"> slow compared to the pulse duration (200 ns) to give a contribution to populate the triplet state A. More than 30 electron-induced collisions with neutrals, Coulomb collisions and ion-neutral momentum and charge exchange collisions are included.</w:t>
      </w:r>
    </w:p>
    <w:p w14:paraId="4AC8A9B2" w14:textId="77777777" w:rsidR="007B1961" w:rsidRPr="00A763AD" w:rsidRDefault="007B1961" w:rsidP="005B0FB1">
      <w:pPr>
        <w:tabs>
          <w:tab w:val="num" w:pos="720"/>
        </w:tabs>
        <w:rPr>
          <w:rFonts w:ascii="Times New Roman" w:hAnsi="Times New Roman" w:cs="Times New Roman"/>
          <w:lang w:val="en-US"/>
        </w:rPr>
      </w:pPr>
    </w:p>
    <w:p w14:paraId="19CC5B34" w14:textId="77777777" w:rsidR="005B0FB1" w:rsidRPr="00A763AD" w:rsidRDefault="005B0FB1" w:rsidP="005B0FB1">
      <w:pPr>
        <w:rPr>
          <w:rFonts w:ascii="Times New Roman" w:hAnsi="Times New Roman" w:cs="Times New Roman"/>
          <w:lang w:val="en-US"/>
        </w:rPr>
      </w:pPr>
      <w:r w:rsidRPr="005B0FB1">
        <w:rPr>
          <w:rFonts w:ascii="Times New Roman" w:hAnsi="Times New Roman" w:cs="Times New Roman"/>
          <w:lang w:val="en-US"/>
        </w:rPr>
        <w:t>It is shown that a diffuse discharge develops with a structure similar to a that of a glow discharge, with negative glow and Faraday dark space, highlighting the importance of non-local contributions to the electron energy distribution function (EEDF)</w:t>
      </w:r>
      <w:r w:rsidR="00553E63">
        <w:rPr>
          <w:rFonts w:ascii="Times New Roman" w:hAnsi="Times New Roman" w:cs="Times New Roman"/>
          <w:lang w:val="en-US"/>
        </w:rPr>
        <w:t xml:space="preserve"> as shown in Fig. 2</w:t>
      </w:r>
      <w:r w:rsidRPr="005B0FB1">
        <w:rPr>
          <w:rFonts w:ascii="Times New Roman" w:hAnsi="Times New Roman" w:cs="Times New Roman"/>
          <w:lang w:val="en-US"/>
        </w:rPr>
        <w:t>.</w:t>
      </w:r>
      <w:r>
        <w:rPr>
          <w:rFonts w:ascii="Times New Roman" w:hAnsi="Times New Roman" w:cs="Times New Roman"/>
          <w:lang w:val="en-US"/>
        </w:rPr>
        <w:t xml:space="preserve"> </w:t>
      </w:r>
      <w:r w:rsidRPr="00A763AD">
        <w:rPr>
          <w:rFonts w:ascii="Times New Roman" w:hAnsi="Times New Roman" w:cs="Times New Roman"/>
          <w:lang w:val="en-US"/>
        </w:rPr>
        <w:t>Like in a DC glow discharge, the cathodic potential drop (more than 600 V) in front of the grounded plate accelerates ions which induce secondary electrons emission from the cathode. This in turn allows the ionization feeding the ion production and the further electron emission after ion impact on the plate.</w:t>
      </w:r>
    </w:p>
    <w:p w14:paraId="4FD3A87D" w14:textId="77777777" w:rsidR="00D87058" w:rsidRPr="005B0FB1" w:rsidRDefault="00D87058" w:rsidP="005B0FB1">
      <w:pPr>
        <w:rPr>
          <w:rFonts w:ascii="Times New Roman" w:hAnsi="Times New Roman" w:cs="Times New Roman"/>
          <w:sz w:val="20"/>
          <w:szCs w:val="20"/>
          <w:lang w:val="en-US"/>
        </w:rPr>
      </w:pPr>
      <w:r w:rsidRPr="00D87058">
        <w:rPr>
          <w:rFonts w:ascii="Times New Roman" w:hAnsi="Times New Roman" w:cs="Times New Roman"/>
          <w:sz w:val="20"/>
          <w:szCs w:val="20"/>
          <w:lang w:val="en-US"/>
        </w:rPr>
        <w:lastRenderedPageBreak/>
        <w:t>a)</w:t>
      </w:r>
      <w:r w:rsidRPr="00D87058">
        <w:rPr>
          <w:rFonts w:ascii="Times New Roman" w:hAnsi="Times New Roman" w:cs="Times New Roman"/>
          <w:noProof/>
          <w:sz w:val="20"/>
          <w:szCs w:val="20"/>
          <w:lang w:val="en-US"/>
          <w14:ligatures w14:val="standardContextual"/>
        </w:rPr>
        <w:drawing>
          <wp:inline distT="0" distB="0" distL="0" distR="0" wp14:anchorId="1F86D696" wp14:editId="7A8E7C72">
            <wp:extent cx="1921079" cy="1519975"/>
            <wp:effectExtent l="0" t="0" r="0" b="4445"/>
            <wp:docPr id="7677197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19747" name="Immagine 7677197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1632" cy="1552061"/>
                    </a:xfrm>
                    <a:prstGeom prst="rect">
                      <a:avLst/>
                    </a:prstGeom>
                  </pic:spPr>
                </pic:pic>
              </a:graphicData>
            </a:graphic>
          </wp:inline>
        </w:drawing>
      </w:r>
      <w:r w:rsidRPr="00D87058">
        <w:rPr>
          <w:rFonts w:ascii="Times New Roman" w:hAnsi="Times New Roman" w:cs="Times New Roman"/>
          <w:sz w:val="20"/>
          <w:szCs w:val="20"/>
          <w:lang w:val="en-US"/>
        </w:rPr>
        <w:t>b)</w:t>
      </w:r>
      <w:r w:rsidRPr="00D87058">
        <w:rPr>
          <w:rFonts w:ascii="Times New Roman" w:hAnsi="Times New Roman" w:cs="Times New Roman"/>
          <w:noProof/>
          <w:sz w:val="20"/>
          <w:szCs w:val="20"/>
          <w:lang w:val="en-US"/>
          <w14:ligatures w14:val="standardContextual"/>
        </w:rPr>
        <w:drawing>
          <wp:inline distT="0" distB="0" distL="0" distR="0" wp14:anchorId="28BF6108" wp14:editId="48AEF233">
            <wp:extent cx="1890661" cy="1510019"/>
            <wp:effectExtent l="0" t="0" r="1905" b="1905"/>
            <wp:docPr id="193782458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24583" name="Immagine 19378245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2579" cy="1519538"/>
                    </a:xfrm>
                    <a:prstGeom prst="rect">
                      <a:avLst/>
                    </a:prstGeom>
                  </pic:spPr>
                </pic:pic>
              </a:graphicData>
            </a:graphic>
          </wp:inline>
        </w:drawing>
      </w:r>
      <w:r w:rsidRPr="00D87058">
        <w:rPr>
          <w:rFonts w:ascii="Times New Roman" w:hAnsi="Times New Roman" w:cs="Times New Roman"/>
          <w:sz w:val="20"/>
          <w:szCs w:val="20"/>
          <w:lang w:val="en-US"/>
        </w:rPr>
        <w:t>c)</w:t>
      </w:r>
      <w:r w:rsidRPr="00D87058">
        <w:rPr>
          <w:rFonts w:ascii="Times New Roman" w:hAnsi="Times New Roman" w:cs="Times New Roman"/>
          <w:noProof/>
          <w:sz w:val="20"/>
          <w:szCs w:val="20"/>
          <w:lang w:val="en-US"/>
          <w14:ligatures w14:val="standardContextual"/>
        </w:rPr>
        <w:drawing>
          <wp:inline distT="0" distB="0" distL="0" distR="0" wp14:anchorId="2AAFEFCC" wp14:editId="20C88BFB">
            <wp:extent cx="1881206" cy="1501629"/>
            <wp:effectExtent l="0" t="0" r="0" b="0"/>
            <wp:docPr id="4533694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69462" name="Immagine 4533694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9848" cy="1524491"/>
                    </a:xfrm>
                    <a:prstGeom prst="rect">
                      <a:avLst/>
                    </a:prstGeom>
                  </pic:spPr>
                </pic:pic>
              </a:graphicData>
            </a:graphic>
          </wp:inline>
        </w:drawing>
      </w:r>
    </w:p>
    <w:p w14:paraId="05F3B202" w14:textId="77777777" w:rsidR="00D87058" w:rsidRPr="005B0FB1" w:rsidRDefault="00D87058" w:rsidP="00D87058">
      <w:pPr>
        <w:jc w:val="center"/>
        <w:rPr>
          <w:rFonts w:ascii="Times New Roman" w:hAnsi="Times New Roman" w:cs="Times New Roman"/>
          <w:sz w:val="20"/>
          <w:szCs w:val="20"/>
        </w:rPr>
      </w:pPr>
      <w:r w:rsidRPr="00D87058">
        <w:rPr>
          <w:rFonts w:ascii="Times New Roman" w:hAnsi="Times New Roman" w:cs="Times New Roman"/>
          <w:b/>
          <w:bCs/>
          <w:sz w:val="20"/>
          <w:szCs w:val="20"/>
        </w:rPr>
        <w:t xml:space="preserve">Fig. </w:t>
      </w:r>
      <w:r>
        <w:rPr>
          <w:rFonts w:ascii="Times New Roman" w:hAnsi="Times New Roman" w:cs="Times New Roman"/>
          <w:b/>
          <w:bCs/>
          <w:sz w:val="20"/>
          <w:szCs w:val="20"/>
        </w:rPr>
        <w:t xml:space="preserve">2 </w:t>
      </w:r>
      <w:r w:rsidRPr="00D87058">
        <w:rPr>
          <w:rFonts w:ascii="Times New Roman" w:hAnsi="Times New Roman" w:cs="Times New Roman"/>
          <w:sz w:val="20"/>
          <w:szCs w:val="20"/>
          <w:lang w:val="en-US"/>
        </w:rPr>
        <w:t>2D(</w:t>
      </w:r>
      <w:proofErr w:type="spellStart"/>
      <w:r w:rsidRPr="00D87058">
        <w:rPr>
          <w:rFonts w:ascii="Times New Roman" w:hAnsi="Times New Roman" w:cs="Times New Roman"/>
          <w:sz w:val="20"/>
          <w:szCs w:val="20"/>
          <w:lang w:val="en-US"/>
        </w:rPr>
        <w:t>r,z</w:t>
      </w:r>
      <w:proofErr w:type="spellEnd"/>
      <w:r w:rsidRPr="00D87058">
        <w:rPr>
          <w:rFonts w:ascii="Times New Roman" w:hAnsi="Times New Roman" w:cs="Times New Roman"/>
          <w:sz w:val="20"/>
          <w:szCs w:val="20"/>
          <w:lang w:val="en-US"/>
        </w:rPr>
        <w:t>) plasma parameters</w:t>
      </w:r>
      <w:r>
        <w:rPr>
          <w:rFonts w:ascii="Times New Roman" w:hAnsi="Times New Roman" w:cs="Times New Roman"/>
          <w:sz w:val="20"/>
          <w:szCs w:val="20"/>
          <w:lang w:val="en-US"/>
        </w:rPr>
        <w:t xml:space="preserve"> (a) plasma potential, b) electron density and c) electron temperature)</w:t>
      </w:r>
      <w:r w:rsidRPr="00D87058">
        <w:rPr>
          <w:rFonts w:ascii="Times New Roman" w:hAnsi="Times New Roman" w:cs="Times New Roman"/>
          <w:sz w:val="20"/>
          <w:szCs w:val="20"/>
          <w:lang w:val="en-US"/>
        </w:rPr>
        <w:t xml:space="preserve"> maps a</w:t>
      </w:r>
      <w:r>
        <w:rPr>
          <w:rFonts w:ascii="Times New Roman" w:hAnsi="Times New Roman" w:cs="Times New Roman"/>
          <w:sz w:val="20"/>
          <w:szCs w:val="20"/>
          <w:lang w:val="en-US"/>
        </w:rPr>
        <w:t>fter</w:t>
      </w:r>
      <w:r w:rsidRPr="00D87058">
        <w:rPr>
          <w:rFonts w:ascii="Times New Roman" w:hAnsi="Times New Roman" w:cs="Times New Roman"/>
          <w:sz w:val="20"/>
          <w:szCs w:val="20"/>
          <w:lang w:val="en-US"/>
        </w:rPr>
        <w:t xml:space="preserve"> 27 ns</w:t>
      </w:r>
      <w:r>
        <w:rPr>
          <w:rFonts w:ascii="Times New Roman" w:hAnsi="Times New Roman" w:cs="Times New Roman"/>
          <w:sz w:val="20"/>
          <w:szCs w:val="20"/>
          <w:lang w:val="en-US"/>
        </w:rPr>
        <w:t xml:space="preserve"> from the beginning of the pulse</w:t>
      </w:r>
      <w:r w:rsidRPr="005B0FB1">
        <w:rPr>
          <w:rFonts w:ascii="Times New Roman" w:hAnsi="Times New Roman" w:cs="Times New Roman"/>
          <w:sz w:val="20"/>
          <w:szCs w:val="20"/>
        </w:rPr>
        <w:t>.</w:t>
      </w:r>
    </w:p>
    <w:p w14:paraId="7100AE19" w14:textId="77777777" w:rsidR="005B0FB1" w:rsidRPr="00A763AD" w:rsidRDefault="005B0FB1" w:rsidP="005B0FB1">
      <w:pPr>
        <w:rPr>
          <w:rFonts w:ascii="Times New Roman" w:hAnsi="Times New Roman" w:cs="Times New Roman"/>
          <w:lang w:val="en-US"/>
        </w:rPr>
      </w:pPr>
    </w:p>
    <w:p w14:paraId="4223D7D6" w14:textId="77777777" w:rsidR="00553E63" w:rsidRPr="00553E63" w:rsidRDefault="00553E63" w:rsidP="00553E63">
      <w:pPr>
        <w:rPr>
          <w:rFonts w:ascii="Times New Roman" w:hAnsi="Times New Roman" w:cs="Times New Roman"/>
          <w:b/>
          <w:bCs/>
          <w:lang w:val="en-US"/>
        </w:rPr>
      </w:pPr>
      <w:r w:rsidRPr="00553E63">
        <w:rPr>
          <w:rFonts w:ascii="Times New Roman" w:hAnsi="Times New Roman" w:cs="Times New Roman"/>
          <w:b/>
          <w:bCs/>
          <w:lang w:val="en-US"/>
        </w:rPr>
        <w:t>Acknowledgement</w:t>
      </w:r>
    </w:p>
    <w:p w14:paraId="741C162A" w14:textId="77777777" w:rsidR="00553E63" w:rsidRDefault="00553E63" w:rsidP="00553E63">
      <w:pPr>
        <w:rPr>
          <w:rFonts w:ascii="Times New Roman" w:hAnsi="Times New Roman" w:cs="Times New Roman"/>
          <w:lang w:val="en-US"/>
        </w:rPr>
      </w:pPr>
      <w:r w:rsidRPr="00553E63">
        <w:rPr>
          <w:rFonts w:ascii="Times New Roman" w:hAnsi="Times New Roman" w:cs="Times New Roman"/>
          <w:lang w:val="en-US"/>
        </w:rPr>
        <w:t>Work funded by the European Union under the National Recovery and Resilience Plan (NRRP) – Next Generation EU, projects PRIN 2022 PLASMODD Prot.  2022J5NBBN.</w:t>
      </w:r>
    </w:p>
    <w:p w14:paraId="748B38E6" w14:textId="77777777" w:rsidR="00553E63" w:rsidRDefault="00553E63" w:rsidP="00553E63">
      <w:pPr>
        <w:rPr>
          <w:rFonts w:ascii="Times New Roman" w:hAnsi="Times New Roman" w:cs="Times New Roman"/>
          <w:lang w:val="en-US"/>
        </w:rPr>
      </w:pPr>
    </w:p>
    <w:p w14:paraId="1C12C246" w14:textId="77777777" w:rsidR="00553E63" w:rsidRDefault="00553E63" w:rsidP="00553E63">
      <w:pPr>
        <w:rPr>
          <w:rFonts w:ascii="Times New Roman" w:hAnsi="Times New Roman" w:cs="Times New Roman"/>
          <w:sz w:val="22"/>
          <w:szCs w:val="22"/>
        </w:rPr>
      </w:pPr>
      <w:r>
        <w:rPr>
          <w:rFonts w:ascii="Times New Roman" w:hAnsi="Times New Roman" w:cs="Times New Roman"/>
          <w:b/>
          <w:bCs/>
          <w:sz w:val="22"/>
          <w:szCs w:val="22"/>
        </w:rPr>
        <w:t>References</w:t>
      </w:r>
    </w:p>
    <w:p w14:paraId="16B3AE81" w14:textId="77777777" w:rsidR="00553E63" w:rsidRDefault="00553E63" w:rsidP="00553E63">
      <w:pPr>
        <w:rPr>
          <w:rFonts w:ascii="Times New Roman" w:hAnsi="Times New Roman"/>
          <w:sz w:val="20"/>
          <w:szCs w:val="20"/>
          <w:lang w:val="en-US"/>
        </w:rPr>
      </w:pPr>
      <w:r w:rsidRPr="00817B4F">
        <w:rPr>
          <w:rFonts w:ascii="Times New Roman" w:hAnsi="Times New Roman"/>
          <w:sz w:val="20"/>
          <w:szCs w:val="20"/>
          <w:lang w:val="en-US"/>
        </w:rPr>
        <w:t xml:space="preserve">[1] </w:t>
      </w:r>
      <w:r>
        <w:rPr>
          <w:rFonts w:ascii="Times New Roman" w:hAnsi="Times New Roman"/>
          <w:sz w:val="20"/>
          <w:szCs w:val="20"/>
          <w:lang w:val="en-US"/>
        </w:rPr>
        <w:t xml:space="preserve">C. </w:t>
      </w:r>
      <w:r w:rsidRPr="00817B4F">
        <w:rPr>
          <w:rFonts w:ascii="Times New Roman" w:hAnsi="Times New Roman"/>
          <w:sz w:val="20"/>
          <w:szCs w:val="20"/>
          <w:lang w:val="en-US"/>
        </w:rPr>
        <w:t xml:space="preserve">Montesano, </w:t>
      </w:r>
      <w:r>
        <w:rPr>
          <w:rFonts w:ascii="Times New Roman" w:hAnsi="Times New Roman"/>
          <w:sz w:val="20"/>
          <w:szCs w:val="20"/>
          <w:lang w:val="en-US"/>
        </w:rPr>
        <w:t xml:space="preserve">T.P.W. </w:t>
      </w:r>
      <w:r w:rsidRPr="00817B4F">
        <w:rPr>
          <w:rFonts w:ascii="Times New Roman" w:hAnsi="Times New Roman"/>
          <w:sz w:val="20"/>
          <w:szCs w:val="20"/>
          <w:lang w:val="en-US"/>
        </w:rPr>
        <w:t xml:space="preserve">Salden, </w:t>
      </w:r>
      <w:r>
        <w:rPr>
          <w:rFonts w:ascii="Times New Roman" w:hAnsi="Times New Roman"/>
          <w:sz w:val="20"/>
          <w:szCs w:val="20"/>
          <w:lang w:val="en-US"/>
        </w:rPr>
        <w:t xml:space="preserve">L.M. </w:t>
      </w:r>
      <w:r w:rsidRPr="00817B4F">
        <w:rPr>
          <w:rFonts w:ascii="Times New Roman" w:hAnsi="Times New Roman"/>
          <w:sz w:val="20"/>
          <w:szCs w:val="20"/>
          <w:lang w:val="en-US"/>
        </w:rPr>
        <w:t xml:space="preserve">Martini, </w:t>
      </w:r>
      <w:r>
        <w:rPr>
          <w:rFonts w:ascii="Times New Roman" w:hAnsi="Times New Roman"/>
          <w:sz w:val="20"/>
          <w:szCs w:val="20"/>
          <w:lang w:val="en-US"/>
        </w:rPr>
        <w:t xml:space="preserve">G. </w:t>
      </w:r>
      <w:proofErr w:type="spellStart"/>
      <w:r w:rsidRPr="00817B4F">
        <w:rPr>
          <w:rFonts w:ascii="Times New Roman" w:hAnsi="Times New Roman"/>
          <w:sz w:val="20"/>
          <w:szCs w:val="20"/>
          <w:lang w:val="en-US"/>
        </w:rPr>
        <w:t>Dilecce</w:t>
      </w:r>
      <w:proofErr w:type="spellEnd"/>
      <w:r w:rsidRPr="00817B4F">
        <w:rPr>
          <w:rFonts w:ascii="Times New Roman" w:hAnsi="Times New Roman"/>
          <w:sz w:val="20"/>
          <w:szCs w:val="20"/>
          <w:lang w:val="en-US"/>
        </w:rPr>
        <w:t xml:space="preserve">, </w:t>
      </w:r>
      <w:r>
        <w:rPr>
          <w:rFonts w:ascii="Times New Roman" w:hAnsi="Times New Roman"/>
          <w:sz w:val="20"/>
          <w:szCs w:val="20"/>
          <w:lang w:val="en-US"/>
        </w:rPr>
        <w:t xml:space="preserve">P. </w:t>
      </w:r>
      <w:r w:rsidRPr="00817B4F">
        <w:rPr>
          <w:rFonts w:ascii="Times New Roman" w:hAnsi="Times New Roman"/>
          <w:sz w:val="20"/>
          <w:szCs w:val="20"/>
          <w:lang w:val="en-US"/>
        </w:rPr>
        <w:t>Tosi</w:t>
      </w:r>
      <w:r>
        <w:rPr>
          <w:rFonts w:ascii="Times New Roman" w:hAnsi="Times New Roman"/>
          <w:sz w:val="20"/>
          <w:szCs w:val="20"/>
          <w:lang w:val="en-US"/>
        </w:rPr>
        <w:t>, “</w:t>
      </w:r>
      <w:r w:rsidRPr="005170DA">
        <w:rPr>
          <w:rFonts w:ascii="Times New Roman" w:hAnsi="Times New Roman"/>
          <w:sz w:val="20"/>
          <w:szCs w:val="20"/>
          <w:lang w:val="en-US"/>
        </w:rPr>
        <w:t>CO</w:t>
      </w:r>
      <w:r w:rsidRPr="005170DA">
        <w:rPr>
          <w:rFonts w:ascii="Times New Roman" w:hAnsi="Times New Roman"/>
          <w:sz w:val="20"/>
          <w:szCs w:val="20"/>
          <w:vertAlign w:val="subscript"/>
          <w:lang w:val="en-US"/>
        </w:rPr>
        <w:t>2</w:t>
      </w:r>
      <w:r w:rsidRPr="005170DA">
        <w:rPr>
          <w:rFonts w:ascii="Times New Roman" w:hAnsi="Times New Roman"/>
          <w:sz w:val="20"/>
          <w:szCs w:val="20"/>
          <w:lang w:val="en-US"/>
        </w:rPr>
        <w:t xml:space="preserve"> Reduction by Nanosecond-Plasma Discharges: Revealing the</w:t>
      </w:r>
      <w:r>
        <w:rPr>
          <w:rFonts w:ascii="Times New Roman" w:hAnsi="Times New Roman"/>
          <w:sz w:val="20"/>
          <w:szCs w:val="20"/>
          <w:lang w:val="en-US"/>
        </w:rPr>
        <w:t xml:space="preserve"> </w:t>
      </w:r>
      <w:r w:rsidRPr="005170DA">
        <w:rPr>
          <w:rFonts w:ascii="Times New Roman" w:hAnsi="Times New Roman"/>
          <w:sz w:val="20"/>
          <w:szCs w:val="20"/>
          <w:lang w:val="en-US"/>
        </w:rPr>
        <w:t>Dissociation’s Time Scale and the Importance of Pulse Sequence</w:t>
      </w:r>
      <w:r>
        <w:rPr>
          <w:rFonts w:ascii="Times New Roman" w:hAnsi="Times New Roman"/>
          <w:sz w:val="20"/>
          <w:szCs w:val="20"/>
          <w:lang w:val="en-US"/>
        </w:rPr>
        <w:t>”</w:t>
      </w:r>
      <w:r w:rsidRPr="00817B4F">
        <w:rPr>
          <w:rFonts w:ascii="Times New Roman" w:hAnsi="Times New Roman"/>
          <w:sz w:val="20"/>
          <w:szCs w:val="20"/>
          <w:lang w:val="en-US"/>
        </w:rPr>
        <w:t xml:space="preserve"> J. Phys. Chem. C, 127, 10045</w:t>
      </w:r>
      <w:r>
        <w:rPr>
          <w:rFonts w:ascii="Times New Roman" w:hAnsi="Times New Roman"/>
          <w:sz w:val="20"/>
          <w:szCs w:val="20"/>
          <w:lang w:val="en-US"/>
        </w:rPr>
        <w:t>-</w:t>
      </w:r>
      <w:r w:rsidRPr="00817B4F">
        <w:rPr>
          <w:rFonts w:ascii="Times New Roman" w:hAnsi="Times New Roman"/>
          <w:sz w:val="20"/>
          <w:szCs w:val="20"/>
          <w:lang w:val="en-US"/>
        </w:rPr>
        <w:t>10050 (2023).</w:t>
      </w:r>
    </w:p>
    <w:p w14:paraId="063A51C0" w14:textId="77777777" w:rsidR="00553E63" w:rsidRPr="00A763AD" w:rsidRDefault="00553E63" w:rsidP="00553E63">
      <w:pPr>
        <w:rPr>
          <w:rFonts w:ascii="Times New Roman" w:hAnsi="Times New Roman"/>
          <w:sz w:val="20"/>
          <w:szCs w:val="20"/>
          <w:lang w:val="en-US"/>
        </w:rPr>
      </w:pPr>
      <w:r w:rsidRPr="00A763AD">
        <w:rPr>
          <w:rFonts w:ascii="Times New Roman" w:hAnsi="Times New Roman"/>
          <w:sz w:val="20"/>
          <w:szCs w:val="20"/>
          <w:lang w:val="en-US"/>
        </w:rPr>
        <w:t xml:space="preserve">[2] F. Cichocki, V. Sciortino, P. Minelli, F. </w:t>
      </w:r>
      <w:proofErr w:type="spellStart"/>
      <w:r w:rsidRPr="00A763AD">
        <w:rPr>
          <w:rFonts w:ascii="Times New Roman" w:hAnsi="Times New Roman"/>
          <w:sz w:val="20"/>
          <w:szCs w:val="20"/>
          <w:lang w:val="en-US"/>
        </w:rPr>
        <w:t>Taccogna</w:t>
      </w:r>
      <w:proofErr w:type="spellEnd"/>
      <w:r w:rsidRPr="00A763AD">
        <w:rPr>
          <w:rFonts w:ascii="Times New Roman" w:hAnsi="Times New Roman"/>
          <w:sz w:val="20"/>
          <w:szCs w:val="20"/>
          <w:lang w:val="en-US"/>
        </w:rPr>
        <w:t>, “PIC modeling challenges in diverse low temperature plasma scenarios”, ESCAMPIG XXVI, Brno, Czech Republic, July 9–13, 2024.</w:t>
      </w:r>
    </w:p>
    <w:p w14:paraId="065EDFC9" w14:textId="77777777" w:rsidR="00553E63" w:rsidRPr="00A763AD" w:rsidRDefault="00553E63" w:rsidP="00553E63">
      <w:pPr>
        <w:rPr>
          <w:rFonts w:ascii="Times New Roman" w:hAnsi="Times New Roman"/>
          <w:sz w:val="20"/>
          <w:szCs w:val="20"/>
          <w:lang w:val="en-US"/>
        </w:rPr>
      </w:pPr>
      <w:r w:rsidRPr="00A763AD">
        <w:rPr>
          <w:rFonts w:ascii="Times New Roman" w:hAnsi="Times New Roman"/>
          <w:sz w:val="20"/>
          <w:szCs w:val="20"/>
          <w:lang w:val="en-US"/>
        </w:rPr>
        <w:t xml:space="preserve">[3] F. </w:t>
      </w:r>
      <w:proofErr w:type="spellStart"/>
      <w:r w:rsidRPr="00A763AD">
        <w:rPr>
          <w:rFonts w:ascii="Times New Roman" w:hAnsi="Times New Roman"/>
          <w:sz w:val="20"/>
          <w:szCs w:val="20"/>
          <w:lang w:val="en-US"/>
        </w:rPr>
        <w:t>Taccogna</w:t>
      </w:r>
      <w:proofErr w:type="spellEnd"/>
      <w:r w:rsidRPr="00A763AD">
        <w:rPr>
          <w:rFonts w:ascii="Times New Roman" w:hAnsi="Times New Roman"/>
          <w:sz w:val="20"/>
          <w:szCs w:val="20"/>
          <w:lang w:val="en-US"/>
        </w:rPr>
        <w:t>, P. Minelli, F. Cichocki, “PICCOLO: a Particle-in-Cell code suite for low-temperature plasmas”, XXXVI International Conference on Phenomena in Ionized Gases (ICPIG), Aix-en-Provence, France, July 20-25, 2025.</w:t>
      </w:r>
    </w:p>
    <w:p w14:paraId="00BBDBDE" w14:textId="77777777" w:rsidR="005B0FB1" w:rsidRDefault="005B0FB1" w:rsidP="005B0FB1"/>
    <w:sectPr w:rsidR="005B0F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45CEF"/>
    <w:multiLevelType w:val="hybridMultilevel"/>
    <w:tmpl w:val="105294C0"/>
    <w:lvl w:ilvl="0" w:tplc="2C121E9C">
      <w:start w:val="1"/>
      <w:numFmt w:val="bullet"/>
      <w:lvlText w:val="-"/>
      <w:lvlJc w:val="left"/>
      <w:pPr>
        <w:tabs>
          <w:tab w:val="num" w:pos="720"/>
        </w:tabs>
        <w:ind w:left="720" w:hanging="360"/>
      </w:pPr>
      <w:rPr>
        <w:rFonts w:ascii="Times New Roman" w:hAnsi="Times New Roman" w:hint="default"/>
      </w:rPr>
    </w:lvl>
    <w:lvl w:ilvl="1" w:tplc="C5642A88" w:tentative="1">
      <w:start w:val="1"/>
      <w:numFmt w:val="bullet"/>
      <w:lvlText w:val="-"/>
      <w:lvlJc w:val="left"/>
      <w:pPr>
        <w:tabs>
          <w:tab w:val="num" w:pos="1440"/>
        </w:tabs>
        <w:ind w:left="1440" w:hanging="360"/>
      </w:pPr>
      <w:rPr>
        <w:rFonts w:ascii="Times New Roman" w:hAnsi="Times New Roman" w:hint="default"/>
      </w:rPr>
    </w:lvl>
    <w:lvl w:ilvl="2" w:tplc="2972720E" w:tentative="1">
      <w:start w:val="1"/>
      <w:numFmt w:val="bullet"/>
      <w:lvlText w:val="-"/>
      <w:lvlJc w:val="left"/>
      <w:pPr>
        <w:tabs>
          <w:tab w:val="num" w:pos="2160"/>
        </w:tabs>
        <w:ind w:left="2160" w:hanging="360"/>
      </w:pPr>
      <w:rPr>
        <w:rFonts w:ascii="Times New Roman" w:hAnsi="Times New Roman" w:hint="default"/>
      </w:rPr>
    </w:lvl>
    <w:lvl w:ilvl="3" w:tplc="23026870" w:tentative="1">
      <w:start w:val="1"/>
      <w:numFmt w:val="bullet"/>
      <w:lvlText w:val="-"/>
      <w:lvlJc w:val="left"/>
      <w:pPr>
        <w:tabs>
          <w:tab w:val="num" w:pos="2880"/>
        </w:tabs>
        <w:ind w:left="2880" w:hanging="360"/>
      </w:pPr>
      <w:rPr>
        <w:rFonts w:ascii="Times New Roman" w:hAnsi="Times New Roman" w:hint="default"/>
      </w:rPr>
    </w:lvl>
    <w:lvl w:ilvl="4" w:tplc="2D08EA42" w:tentative="1">
      <w:start w:val="1"/>
      <w:numFmt w:val="bullet"/>
      <w:lvlText w:val="-"/>
      <w:lvlJc w:val="left"/>
      <w:pPr>
        <w:tabs>
          <w:tab w:val="num" w:pos="3600"/>
        </w:tabs>
        <w:ind w:left="3600" w:hanging="360"/>
      </w:pPr>
      <w:rPr>
        <w:rFonts w:ascii="Times New Roman" w:hAnsi="Times New Roman" w:hint="default"/>
      </w:rPr>
    </w:lvl>
    <w:lvl w:ilvl="5" w:tplc="A0EADDC2" w:tentative="1">
      <w:start w:val="1"/>
      <w:numFmt w:val="bullet"/>
      <w:lvlText w:val="-"/>
      <w:lvlJc w:val="left"/>
      <w:pPr>
        <w:tabs>
          <w:tab w:val="num" w:pos="4320"/>
        </w:tabs>
        <w:ind w:left="4320" w:hanging="360"/>
      </w:pPr>
      <w:rPr>
        <w:rFonts w:ascii="Times New Roman" w:hAnsi="Times New Roman" w:hint="default"/>
      </w:rPr>
    </w:lvl>
    <w:lvl w:ilvl="6" w:tplc="158E67CC" w:tentative="1">
      <w:start w:val="1"/>
      <w:numFmt w:val="bullet"/>
      <w:lvlText w:val="-"/>
      <w:lvlJc w:val="left"/>
      <w:pPr>
        <w:tabs>
          <w:tab w:val="num" w:pos="5040"/>
        </w:tabs>
        <w:ind w:left="5040" w:hanging="360"/>
      </w:pPr>
      <w:rPr>
        <w:rFonts w:ascii="Times New Roman" w:hAnsi="Times New Roman" w:hint="default"/>
      </w:rPr>
    </w:lvl>
    <w:lvl w:ilvl="7" w:tplc="9B267CC2" w:tentative="1">
      <w:start w:val="1"/>
      <w:numFmt w:val="bullet"/>
      <w:lvlText w:val="-"/>
      <w:lvlJc w:val="left"/>
      <w:pPr>
        <w:tabs>
          <w:tab w:val="num" w:pos="5760"/>
        </w:tabs>
        <w:ind w:left="5760" w:hanging="360"/>
      </w:pPr>
      <w:rPr>
        <w:rFonts w:ascii="Times New Roman" w:hAnsi="Times New Roman" w:hint="default"/>
      </w:rPr>
    </w:lvl>
    <w:lvl w:ilvl="8" w:tplc="7CD693C0" w:tentative="1">
      <w:start w:val="1"/>
      <w:numFmt w:val="bullet"/>
      <w:lvlText w:val="-"/>
      <w:lvlJc w:val="left"/>
      <w:pPr>
        <w:tabs>
          <w:tab w:val="num" w:pos="6480"/>
        </w:tabs>
        <w:ind w:left="6480" w:hanging="360"/>
      </w:pPr>
      <w:rPr>
        <w:rFonts w:ascii="Times New Roman" w:hAnsi="Times New Roman" w:hint="default"/>
      </w:rPr>
    </w:lvl>
  </w:abstractNum>
  <w:num w:numId="1" w16cid:durableId="147039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B1"/>
    <w:rsid w:val="001B1F75"/>
    <w:rsid w:val="00231862"/>
    <w:rsid w:val="00427739"/>
    <w:rsid w:val="00553E63"/>
    <w:rsid w:val="005B0FB1"/>
    <w:rsid w:val="005B4E52"/>
    <w:rsid w:val="006944F2"/>
    <w:rsid w:val="007B1961"/>
    <w:rsid w:val="00871355"/>
    <w:rsid w:val="00A01DF1"/>
    <w:rsid w:val="00A763AD"/>
    <w:rsid w:val="00AB62C6"/>
    <w:rsid w:val="00B019C6"/>
    <w:rsid w:val="00BA5167"/>
    <w:rsid w:val="00C207AA"/>
    <w:rsid w:val="00D842C0"/>
    <w:rsid w:val="00D87058"/>
    <w:rsid w:val="00DC0D78"/>
    <w:rsid w:val="00DC0E4E"/>
    <w:rsid w:val="00E676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642B"/>
  <w15:chartTrackingRefBased/>
  <w15:docId w15:val="{1C744C15-F2CE-404B-A2B7-C044E160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63"/>
    <w:pPr>
      <w:suppressAutoHyphens/>
      <w:overflowPunct w:val="0"/>
      <w:jc w:val="both"/>
    </w:pPr>
    <w:rPr>
      <w:rFonts w:ascii="Palatino" w:eastAsia="Times New Roman" w:hAnsi="Palatino" w:cs="Palatino"/>
      <w:color w:val="000000"/>
      <w:kern w:val="0"/>
      <w:lang w:val="en-GB"/>
      <w14:ligatures w14:val="none"/>
    </w:rPr>
  </w:style>
  <w:style w:type="paragraph" w:styleId="Heading1">
    <w:name w:val="heading 1"/>
    <w:basedOn w:val="Normal"/>
    <w:next w:val="Normal"/>
    <w:link w:val="Heading1Char"/>
    <w:uiPriority w:val="9"/>
    <w:qFormat/>
    <w:rsid w:val="005B0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FB1"/>
    <w:rPr>
      <w:rFonts w:eastAsiaTheme="majorEastAsia" w:cstheme="majorBidi"/>
      <w:color w:val="272727" w:themeColor="text1" w:themeTint="D8"/>
    </w:rPr>
  </w:style>
  <w:style w:type="paragraph" w:styleId="Title">
    <w:name w:val="Title"/>
    <w:basedOn w:val="Normal"/>
    <w:next w:val="Normal"/>
    <w:link w:val="TitleChar"/>
    <w:uiPriority w:val="10"/>
    <w:qFormat/>
    <w:rsid w:val="005B0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F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F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FB1"/>
    <w:rPr>
      <w:i/>
      <w:iCs/>
      <w:color w:val="404040" w:themeColor="text1" w:themeTint="BF"/>
    </w:rPr>
  </w:style>
  <w:style w:type="paragraph" w:styleId="ListParagraph">
    <w:name w:val="List Paragraph"/>
    <w:basedOn w:val="Normal"/>
    <w:uiPriority w:val="34"/>
    <w:qFormat/>
    <w:rsid w:val="005B0FB1"/>
    <w:pPr>
      <w:ind w:left="720"/>
      <w:contextualSpacing/>
    </w:pPr>
  </w:style>
  <w:style w:type="character" w:styleId="IntenseEmphasis">
    <w:name w:val="Intense Emphasis"/>
    <w:basedOn w:val="DefaultParagraphFont"/>
    <w:uiPriority w:val="21"/>
    <w:qFormat/>
    <w:rsid w:val="005B0FB1"/>
    <w:rPr>
      <w:i/>
      <w:iCs/>
      <w:color w:val="2F5496" w:themeColor="accent1" w:themeShade="BF"/>
    </w:rPr>
  </w:style>
  <w:style w:type="paragraph" w:styleId="IntenseQuote">
    <w:name w:val="Intense Quote"/>
    <w:basedOn w:val="Normal"/>
    <w:next w:val="Normal"/>
    <w:link w:val="IntenseQuoteChar"/>
    <w:uiPriority w:val="30"/>
    <w:qFormat/>
    <w:rsid w:val="005B0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FB1"/>
    <w:rPr>
      <w:i/>
      <w:iCs/>
      <w:color w:val="2F5496" w:themeColor="accent1" w:themeShade="BF"/>
    </w:rPr>
  </w:style>
  <w:style w:type="character" w:styleId="IntenseReference">
    <w:name w:val="Intense Reference"/>
    <w:basedOn w:val="DefaultParagraphFont"/>
    <w:uiPriority w:val="32"/>
    <w:qFormat/>
    <w:rsid w:val="005B0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TACCOGNA</dc:creator>
  <cp:keywords/>
  <dc:description/>
  <cp:lastModifiedBy>Filippo Cichocki</cp:lastModifiedBy>
  <cp:revision>10</cp:revision>
  <dcterms:created xsi:type="dcterms:W3CDTF">2025-11-14T09:46:00Z</dcterms:created>
  <dcterms:modified xsi:type="dcterms:W3CDTF">2025-11-14T10:19:00Z</dcterms:modified>
</cp:coreProperties>
</file>